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52" w:rsidRPr="00942292" w:rsidRDefault="009D3552" w:rsidP="00FB13C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42292">
        <w:rPr>
          <w:rFonts w:ascii="Times New Roman" w:hAnsi="Times New Roman" w:cs="Times New Roman"/>
          <w:b/>
          <w:sz w:val="24"/>
          <w:szCs w:val="24"/>
          <w:lang w:val="ro-RO"/>
        </w:rPr>
        <w:t>Constantin I. Ciobanu</w:t>
      </w:r>
    </w:p>
    <w:p w:rsidR="00FB13C4" w:rsidRDefault="00FB13C4" w:rsidP="00FB13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86077" w:rsidRPr="00942292" w:rsidRDefault="00186077" w:rsidP="00400BA7">
      <w:pPr>
        <w:jc w:val="center"/>
        <w:rPr>
          <w:sz w:val="24"/>
          <w:szCs w:val="24"/>
          <w:lang w:val="fr-FR"/>
        </w:rPr>
      </w:pPr>
      <w:r w:rsidRPr="00942292">
        <w:rPr>
          <w:rFonts w:ascii="Times New Roman" w:hAnsi="Times New Roman" w:cs="Times New Roman"/>
          <w:b/>
          <w:sz w:val="24"/>
          <w:szCs w:val="24"/>
          <w:lang w:val="fr-FR"/>
        </w:rPr>
        <w:t>Résumé</w:t>
      </w:r>
      <w:r w:rsidRPr="00942292">
        <w:rPr>
          <w:sz w:val="24"/>
          <w:szCs w:val="24"/>
          <w:lang w:val="fr-FR"/>
        </w:rPr>
        <w:t xml:space="preserve"> </w:t>
      </w:r>
    </w:p>
    <w:p w:rsidR="00186077" w:rsidRPr="00F65BA1" w:rsidRDefault="00186077" w:rsidP="00400BA7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5BA1">
        <w:rPr>
          <w:rFonts w:ascii="Times New Roman" w:hAnsi="Times New Roman" w:cs="Times New Roman"/>
          <w:b/>
          <w:sz w:val="28"/>
          <w:szCs w:val="28"/>
          <w:lang w:val="fr-FR"/>
        </w:rPr>
        <w:t xml:space="preserve">Cinq exemples </w:t>
      </w:r>
      <w:r w:rsidR="00221B15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="00221B15" w:rsidRPr="00221B15">
        <w:rPr>
          <w:rFonts w:ascii="Times New Roman" w:hAnsi="Times New Roman" w:cs="Times New Roman"/>
          <w:b/>
          <w:sz w:val="28"/>
          <w:szCs w:val="28"/>
          <w:lang w:val="fr-FR"/>
        </w:rPr>
        <w:t>'</w:t>
      </w:r>
      <w:r w:rsidRPr="00221B15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Pr="00F65BA1">
        <w:rPr>
          <w:rFonts w:ascii="Times New Roman" w:hAnsi="Times New Roman" w:cs="Times New Roman"/>
          <w:b/>
          <w:sz w:val="28"/>
          <w:szCs w:val="28"/>
          <w:lang w:val="fr-FR"/>
        </w:rPr>
        <w:t>nscriptions spéculaires cyrilliques dans la peinture médiévale roumaine</w:t>
      </w:r>
    </w:p>
    <w:p w:rsidR="00186077" w:rsidRPr="00F65BA1" w:rsidRDefault="00186077" w:rsidP="00942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BA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</w:t>
      </w:r>
      <w:r w:rsidR="00161407" w:rsidRPr="00F65BA1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21B15" w:rsidRPr="00F65BA1">
        <w:rPr>
          <w:rFonts w:ascii="Times New Roman" w:hAnsi="Times New Roman" w:cs="Times New Roman"/>
          <w:sz w:val="24"/>
          <w:szCs w:val="24"/>
          <w:lang w:val="fr-FR"/>
        </w:rPr>
        <w:t>'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écriture </w:t>
      </w:r>
      <w:r w:rsidRPr="00F65BA1">
        <w:rPr>
          <w:rFonts w:ascii="Times New Roman" w:hAnsi="Times New Roman" w:cs="Times New Roman"/>
          <w:i/>
          <w:sz w:val="24"/>
          <w:szCs w:val="24"/>
          <w:lang w:val="fr-FR"/>
        </w:rPr>
        <w:t>spéculaire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(en anglais: </w:t>
      </w:r>
      <w:r w:rsidRPr="00F65BA1">
        <w:rPr>
          <w:rFonts w:ascii="Times New Roman" w:hAnsi="Times New Roman" w:cs="Times New Roman"/>
          <w:i/>
          <w:sz w:val="24"/>
          <w:szCs w:val="24"/>
          <w:lang w:val="fr-FR"/>
        </w:rPr>
        <w:t>mirror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writing; synonyme:</w:t>
      </w:r>
      <w:r w:rsidR="00F65BA1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écriture </w:t>
      </w:r>
      <w:r w:rsidRPr="00F65BA1">
        <w:rPr>
          <w:rFonts w:ascii="Times New Roman" w:hAnsi="Times New Roman" w:cs="Times New Roman"/>
          <w:i/>
          <w:sz w:val="24"/>
          <w:szCs w:val="24"/>
          <w:lang w:val="fr-FR"/>
        </w:rPr>
        <w:t>en miroir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; le terme </w:t>
      </w:r>
      <w:r w:rsidRPr="00F65BA1">
        <w:rPr>
          <w:rFonts w:ascii="Times New Roman" w:hAnsi="Times New Roman" w:cs="Times New Roman"/>
          <w:i/>
          <w:sz w:val="24"/>
          <w:szCs w:val="24"/>
          <w:lang w:val="fr-FR"/>
        </w:rPr>
        <w:t>spéculaire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vient du substantif latin </w:t>
      </w:r>
      <w:r w:rsidRPr="00F65BA1">
        <w:rPr>
          <w:rFonts w:ascii="Times New Roman" w:hAnsi="Times New Roman" w:cs="Times New Roman"/>
          <w:i/>
          <w:sz w:val="24"/>
          <w:szCs w:val="24"/>
          <w:lang w:val="fr-FR"/>
        </w:rPr>
        <w:t>speculum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Pr="00F65BA1">
        <w:rPr>
          <w:rFonts w:ascii="Times New Roman" w:hAnsi="Times New Roman" w:cs="Times New Roman"/>
          <w:i/>
          <w:sz w:val="24"/>
          <w:szCs w:val="24"/>
          <w:lang w:val="fr-FR"/>
        </w:rPr>
        <w:t>miroir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>) n'a pas fait jusqu'à présent l'objet d'étude d</w:t>
      </w:r>
      <w:r w:rsidR="00161407" w:rsidRPr="00F65BA1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historiens de l'art roumain. Connu</w:t>
      </w:r>
      <w:r w:rsidR="00400BA7" w:rsidRPr="00F65BA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140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grâce </w:t>
      </w:r>
      <w:r w:rsidR="008D2512">
        <w:rPr>
          <w:rFonts w:ascii="Times New Roman" w:hAnsi="Times New Roman" w:cs="Times New Roman"/>
          <w:sz w:val="24"/>
          <w:szCs w:val="24"/>
          <w:lang w:val="fr-FR"/>
        </w:rPr>
        <w:t>aux inscriptions «</w:t>
      </w:r>
      <w:r w:rsidR="008D2512" w:rsidRPr="00F65BA1">
        <w:rPr>
          <w:rFonts w:ascii="Times New Roman" w:hAnsi="Times New Roman" w:cs="Times New Roman"/>
          <w:sz w:val="24"/>
          <w:szCs w:val="24"/>
          <w:lang w:val="fr-FR"/>
        </w:rPr>
        <w:t>inversées»</w:t>
      </w:r>
      <w:r w:rsidR="0016140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Pr="00011715">
        <w:rPr>
          <w:rFonts w:ascii="Times New Roman" w:hAnsi="Times New Roman" w:cs="Times New Roman"/>
          <w:i/>
          <w:sz w:val="24"/>
          <w:szCs w:val="24"/>
          <w:lang w:val="fr-FR"/>
        </w:rPr>
        <w:t>ambulance</w:t>
      </w:r>
      <w:r w:rsidR="00161407" w:rsidRPr="00011715">
        <w:rPr>
          <w:rFonts w:ascii="Times New Roman" w:hAnsi="Times New Roman" w:cs="Times New Roman"/>
          <w:i/>
          <w:sz w:val="24"/>
          <w:szCs w:val="24"/>
          <w:lang w:val="fr-FR"/>
        </w:rPr>
        <w:t>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140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mobiles ainsi 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="00400BA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1407" w:rsidRPr="00F65BA1">
        <w:rPr>
          <w:rFonts w:ascii="Times New Roman" w:hAnsi="Times New Roman" w:cs="Times New Roman"/>
          <w:sz w:val="24"/>
          <w:szCs w:val="24"/>
          <w:lang w:val="fr-FR"/>
        </w:rPr>
        <w:t>grâce aux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manuscrits de L</w:t>
      </w:r>
      <w:r w:rsidR="00161407" w:rsidRPr="00F65BA1">
        <w:rPr>
          <w:rFonts w:ascii="Times New Roman" w:hAnsi="Times New Roman" w:cs="Times New Roman"/>
          <w:sz w:val="24"/>
          <w:szCs w:val="24"/>
          <w:lang w:val="fr-FR"/>
        </w:rPr>
        <w:t>éonard de Vinci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00BA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cette écriture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>reste</w:t>
      </w:r>
      <w:r w:rsidR="006D77D4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00BA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l'apanage </w:t>
      </w:r>
      <w:r w:rsidR="006D77D4" w:rsidRPr="00F65BA1">
        <w:rPr>
          <w:rFonts w:ascii="Times New Roman" w:hAnsi="Times New Roman" w:cs="Times New Roman"/>
          <w:sz w:val="24"/>
          <w:szCs w:val="24"/>
          <w:lang w:val="fr-FR"/>
        </w:rPr>
        <w:t>de la psychologie, de la neurophysiologie, de la pédiatrie et des disciplines historiques auxiliaires telles que la paléographie, l'épigraphie et la sigillographie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1154" w:rsidRPr="00F65BA1">
        <w:rPr>
          <w:rFonts w:ascii="Times New Roman" w:hAnsi="Times New Roman" w:cs="Times New Roman"/>
          <w:sz w:val="24"/>
          <w:szCs w:val="24"/>
          <w:lang w:val="fr-FR"/>
        </w:rPr>
        <w:t>Les inscriptions spéculaires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1154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sont extrêmement rares dans la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peinture médiévale</w:t>
      </w:r>
      <w:r w:rsidR="00E91154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orthodoxe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E91154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leurs apparition est généralement 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dû </w:t>
      </w:r>
      <w:r w:rsidR="00E91154" w:rsidRPr="00F65BA1">
        <w:rPr>
          <w:rFonts w:ascii="Times New Roman" w:hAnsi="Times New Roman" w:cs="Times New Roman"/>
          <w:sz w:val="24"/>
          <w:szCs w:val="24"/>
          <w:lang w:val="fr-FR"/>
        </w:rPr>
        <w:t>soit au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1154" w:rsidRPr="00F65BA1">
        <w:rPr>
          <w:rFonts w:ascii="Times New Roman" w:hAnsi="Times New Roman" w:cs="Times New Roman"/>
          <w:sz w:val="24"/>
          <w:szCs w:val="24"/>
          <w:lang w:val="fr-FR"/>
        </w:rPr>
        <w:t>contexte spatio-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temporel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de leur genèse</w:t>
      </w:r>
      <w:r w:rsidR="00E91154" w:rsidRPr="00F65BA1">
        <w:rPr>
          <w:rFonts w:ascii="Times New Roman" w:hAnsi="Times New Roman" w:cs="Times New Roman"/>
          <w:sz w:val="24"/>
          <w:szCs w:val="24"/>
          <w:lang w:val="fr-FR"/>
        </w:rPr>
        <w:t>, soit a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leur message spécifique</w:t>
      </w:r>
      <w:r w:rsidR="00E91154" w:rsidRPr="00F65B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86077" w:rsidRPr="00F65BA1" w:rsidRDefault="00186077" w:rsidP="00942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BA1">
        <w:rPr>
          <w:rFonts w:ascii="Times New Roman" w:hAnsi="Times New Roman" w:cs="Times New Roman"/>
          <w:sz w:val="24"/>
          <w:szCs w:val="24"/>
          <w:lang w:val="fr-FR"/>
        </w:rPr>
        <w:t>     Un e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>xemple d'écriture spéculaire nous est fourni par les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fresques du XVI</w:t>
      </w:r>
      <w:r w:rsidR="00F65BA1" w:rsidRPr="00221B1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221B1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siècle de 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l’église 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 xml:space="preserve">de la Dormition de la Vierge 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du village </w:t>
      </w:r>
      <w:r w:rsidR="00F9057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Stăneşti-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>Lunca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(en Valachie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713E1" w:rsidRPr="001713E1">
        <w:rPr>
          <w:rFonts w:ascii="Times New Roman" w:hAnsi="Times New Roman" w:cs="Times New Roman"/>
          <w:sz w:val="24"/>
          <w:szCs w:val="24"/>
          <w:lang w:val="fr-FR"/>
        </w:rPr>
        <w:t>région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1713E1" w:rsidRPr="00F65BA1">
        <w:rPr>
          <w:rFonts w:ascii="Times New Roman" w:hAnsi="Times New Roman" w:cs="Times New Roman"/>
          <w:sz w:val="24"/>
          <w:szCs w:val="24"/>
          <w:lang w:val="fr-FR"/>
        </w:rPr>
        <w:t>Vâlcea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. Là, 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dans l'image de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Pr="00F65BA1">
        <w:rPr>
          <w:rFonts w:ascii="Times New Roman" w:hAnsi="Times New Roman" w:cs="Times New Roman"/>
          <w:i/>
          <w:sz w:val="24"/>
          <w:szCs w:val="24"/>
          <w:lang w:val="fr-FR"/>
        </w:rPr>
        <w:t>vision de Saint-Pierre d'Alexandrie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, la réponse </w:t>
      </w:r>
      <w:r w:rsidR="008D2512">
        <w:rPr>
          <w:rFonts w:ascii="Times New Roman" w:hAnsi="Times New Roman" w:cs="Times New Roman"/>
          <w:sz w:val="24"/>
          <w:szCs w:val="24"/>
          <w:lang w:val="fr-FR"/>
        </w:rPr>
        <w:t>(«</w:t>
      </w:r>
      <w:r w:rsidR="008D2512" w:rsidRPr="00F65BA1">
        <w:rPr>
          <w:rFonts w:ascii="Times New Roman" w:hAnsi="Times New Roman" w:cs="Times New Roman"/>
          <w:i/>
          <w:sz w:val="24"/>
          <w:szCs w:val="24"/>
          <w:lang w:val="fr-FR"/>
        </w:rPr>
        <w:t>Arie le fou!</w:t>
      </w:r>
      <w:r w:rsidR="008D2512" w:rsidRPr="00F65BA1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="00221B15" w:rsidRPr="00F65BA1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221B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donnée par le Christ 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>à l</w:t>
      </w:r>
      <w:r w:rsidR="001713E1" w:rsidRPr="00F65BA1">
        <w:rPr>
          <w:rFonts w:ascii="Times New Roman" w:hAnsi="Times New Roman" w:cs="Times New Roman"/>
          <w:sz w:val="24"/>
          <w:szCs w:val="24"/>
          <w:lang w:val="fr-FR"/>
        </w:rPr>
        <w:t>'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>hiérarque 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st écrit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r w:rsidR="00F9057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langue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slavon</w:t>
      </w:r>
      <w:r w:rsidR="00221B1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F9057B" w:rsidRPr="00F65BA1">
        <w:rPr>
          <w:rFonts w:ascii="Times New Roman" w:hAnsi="Times New Roman" w:cs="Times New Roman"/>
          <w:sz w:val="24"/>
          <w:szCs w:val="24"/>
          <w:lang w:val="fr-FR"/>
        </w:rPr>
        <w:t>e de l</w:t>
      </w:r>
      <w:r w:rsidR="001713E1" w:rsidRPr="00F65BA1">
        <w:rPr>
          <w:rFonts w:ascii="Times New Roman" w:hAnsi="Times New Roman" w:cs="Times New Roman"/>
          <w:sz w:val="24"/>
          <w:szCs w:val="24"/>
          <w:lang w:val="fr-FR"/>
        </w:rPr>
        <w:t>'</w:t>
      </w:r>
      <w:r w:rsidR="00F9057B" w:rsidRPr="00F65BA1">
        <w:rPr>
          <w:rFonts w:ascii="Times New Roman" w:hAnsi="Times New Roman" w:cs="Times New Roman"/>
          <w:sz w:val="24"/>
          <w:szCs w:val="24"/>
          <w:lang w:val="fr-FR"/>
        </w:rPr>
        <w:t>église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de droite à gauche et </w:t>
      </w:r>
      <w:r w:rsidR="00F9057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avec des 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9057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lettres peintes </w:t>
      </w:r>
      <w:r w:rsidR="008D2512">
        <w:rPr>
          <w:rFonts w:ascii="Times New Roman" w:hAnsi="Times New Roman" w:cs="Times New Roman"/>
          <w:sz w:val="24"/>
          <w:szCs w:val="24"/>
          <w:lang w:val="fr-FR"/>
        </w:rPr>
        <w:t>«en miroir</w:t>
      </w:r>
      <w:r w:rsidR="008D2512" w:rsidRPr="00F65BA1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 xml:space="preserve">par rapport a leur écriture </w:t>
      </w:r>
      <w:r w:rsidR="00F9057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habituelle. 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>Et ce n'est pas le seul exemple d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'écriture spéculaire 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dans l’art de la fresque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roumain</w:t>
      </w:r>
      <w:r w:rsidR="00714D2B" w:rsidRPr="00F65BA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médiévale. À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'église Saint-Nicolas du monastère </w:t>
      </w:r>
      <w:r w:rsidR="00F9057B" w:rsidRPr="00F65BA1">
        <w:rPr>
          <w:rFonts w:ascii="Times New Roman" w:hAnsi="Times New Roman" w:cs="Times New Roman"/>
          <w:sz w:val="24"/>
          <w:szCs w:val="24"/>
          <w:lang w:val="fr-FR"/>
        </w:rPr>
        <w:t>de Probota (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en Moldavie, fondation du prince Petru Rareş; construction 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r w:rsidR="005F1B72">
        <w:rPr>
          <w:rFonts w:ascii="Times New Roman" w:hAnsi="Times New Roman" w:cs="Times New Roman"/>
          <w:sz w:val="24"/>
          <w:szCs w:val="24"/>
          <w:lang w:val="fr-FR"/>
        </w:rPr>
        <w:t>1530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, peintur</w:t>
      </w:r>
      <w:r w:rsidR="005F1B72">
        <w:rPr>
          <w:rFonts w:ascii="Times New Roman" w:hAnsi="Times New Roman" w:cs="Times New Roman"/>
          <w:sz w:val="24"/>
          <w:szCs w:val="24"/>
          <w:lang w:val="fr-FR"/>
        </w:rPr>
        <w:t>e, probablement, entre 1532 –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1534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>l'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>inscription dont est désigné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>le prophète Aaron (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peint dans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un des champs triangulaires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de la v</w:t>
      </w:r>
      <w:r w:rsidR="00221B15">
        <w:rPr>
          <w:rFonts w:ascii="Times New Roman" w:hAnsi="Times New Roman" w:cs="Times New Roman"/>
          <w:sz w:val="24"/>
          <w:szCs w:val="24"/>
          <w:lang w:val="fr-FR"/>
        </w:rPr>
        <w:t>oû</w:t>
      </w:r>
      <w:r w:rsidR="00FE5E48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te 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du narthex) est aussi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écrit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de droite à g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>auche (comme en hébreu) ​​</w:t>
      </w:r>
      <w:r w:rsidR="00221B15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>avec des caractères cyrilliques</w:t>
      </w:r>
      <w:r w:rsidR="002D0B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2512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2D0BD6" w:rsidRPr="002D0BD6">
        <w:rPr>
          <w:rFonts w:ascii="Times New Roman" w:hAnsi="Times New Roman" w:cs="Times New Roman"/>
          <w:sz w:val="24"/>
          <w:szCs w:val="24"/>
          <w:lang w:val="fr-FR"/>
        </w:rPr>
        <w:t>reflétés</w:t>
      </w:r>
      <w:r w:rsidR="002D0B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2512">
        <w:rPr>
          <w:rFonts w:ascii="Times New Roman" w:hAnsi="Times New Roman" w:cs="Times New Roman"/>
          <w:sz w:val="24"/>
          <w:szCs w:val="24"/>
          <w:lang w:val="fr-FR"/>
        </w:rPr>
        <w:t>en miroir</w:t>
      </w:r>
      <w:r w:rsidR="008D2512" w:rsidRPr="00F65BA1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. Peut-être que cela a été fait pour mettre en évidence l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>'origine et le statut du prêtre-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prophète </w:t>
      </w:r>
      <w:r w:rsidR="00E80C3A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juif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de l'Ancien Testament</w:t>
      </w:r>
      <w:r w:rsidR="00221B15">
        <w:rPr>
          <w:rFonts w:ascii="Times New Roman" w:hAnsi="Times New Roman" w:cs="Times New Roman"/>
          <w:sz w:val="24"/>
          <w:szCs w:val="24"/>
          <w:lang w:val="fr-FR"/>
        </w:rPr>
        <w:t>. Un autre exemple nous trouvons dans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le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peintures murales du réfectoire du monastère de Hurezi (1705 - 1706).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Ici, dans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l'image illustrant </w:t>
      </w:r>
      <w:r w:rsidR="00FF027F">
        <w:rPr>
          <w:rFonts w:ascii="Times New Roman" w:hAnsi="Times New Roman" w:cs="Times New Roman"/>
          <w:i/>
          <w:sz w:val="24"/>
          <w:szCs w:val="24"/>
          <w:lang w:val="fr-FR"/>
        </w:rPr>
        <w:t>L</w:t>
      </w:r>
      <w:r w:rsidR="00D00719" w:rsidRPr="00F65BA1">
        <w:rPr>
          <w:rFonts w:ascii="Times New Roman" w:hAnsi="Times New Roman" w:cs="Times New Roman"/>
          <w:i/>
          <w:sz w:val="24"/>
          <w:szCs w:val="24"/>
          <w:lang w:val="fr-FR"/>
        </w:rPr>
        <w:t xml:space="preserve">es </w:t>
      </w:r>
      <w:r w:rsidRPr="00F65BA1">
        <w:rPr>
          <w:rFonts w:ascii="Times New Roman" w:hAnsi="Times New Roman" w:cs="Times New Roman"/>
          <w:i/>
          <w:sz w:val="24"/>
          <w:szCs w:val="24"/>
          <w:lang w:val="fr-FR"/>
        </w:rPr>
        <w:t>vertus</w:t>
      </w:r>
      <w:r w:rsidR="00FF027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des moines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les paroles 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>attribuées à Jésus crucifié («</w:t>
      </w:r>
      <w:r w:rsidR="00D00719" w:rsidRPr="00F65BA1">
        <w:rPr>
          <w:rFonts w:ascii="Times New Roman" w:hAnsi="Times New Roman" w:cs="Times New Roman"/>
          <w:i/>
          <w:sz w:val="24"/>
          <w:szCs w:val="24"/>
          <w:lang w:val="fr-FR"/>
        </w:rPr>
        <w:t>P</w:t>
      </w:r>
      <w:r w:rsidRPr="00F65BA1">
        <w:rPr>
          <w:rFonts w:ascii="Times New Roman" w:hAnsi="Times New Roman" w:cs="Times New Roman"/>
          <w:i/>
          <w:sz w:val="24"/>
          <w:szCs w:val="24"/>
          <w:lang w:val="fr-FR"/>
        </w:rPr>
        <w:t>our vous et pour vos péchés Je suis crucifié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») et le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>s paroles attribuées au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Christ 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>portant la croix 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ont écrit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s en 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roumain avec des</w:t>
      </w:r>
      <w:r w:rsidR="00D00719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lettres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cyrillique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221B15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2D0BD6" w:rsidRPr="002D0BD6">
        <w:rPr>
          <w:rFonts w:ascii="Times New Roman" w:hAnsi="Times New Roman" w:cs="Times New Roman"/>
          <w:sz w:val="24"/>
          <w:szCs w:val="24"/>
          <w:lang w:val="fr-FR"/>
        </w:rPr>
        <w:t>reflétés</w:t>
      </w:r>
      <w:r w:rsidR="002D0B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21B15">
        <w:rPr>
          <w:rFonts w:ascii="Times New Roman" w:hAnsi="Times New Roman" w:cs="Times New Roman"/>
          <w:sz w:val="24"/>
          <w:szCs w:val="24"/>
          <w:lang w:val="fr-FR"/>
        </w:rPr>
        <w:t>en miroir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comme dans le cas des inscriptions 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en langue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slave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 xml:space="preserve"> de Stăneşti-Lunca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de Probota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D0BD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186077" w:rsidRPr="00F65BA1" w:rsidRDefault="00186077" w:rsidP="00942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BA1">
        <w:rPr>
          <w:rFonts w:ascii="Times New Roman" w:hAnsi="Times New Roman" w:cs="Times New Roman"/>
          <w:sz w:val="24"/>
          <w:szCs w:val="24"/>
          <w:lang w:val="fr-FR"/>
        </w:rPr>
        <w:lastRenderedPageBreak/>
        <w:t>     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F65BA1" w:rsidRPr="00F65BA1">
        <w:rPr>
          <w:rFonts w:ascii="Times New Roman" w:hAnsi="Times New Roman" w:cs="Times New Roman"/>
          <w:sz w:val="24"/>
          <w:szCs w:val="24"/>
          <w:lang w:val="fr-FR"/>
        </w:rPr>
        <w:t>’autonomie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F65BA1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de ces textes par rapport à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l'observateur </w:t>
      </w:r>
      <w:r w:rsidR="00F65BA1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moderne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est si grande que </w:t>
      </w:r>
      <w:r w:rsidR="00F65BA1" w:rsidRPr="00F65BA1">
        <w:rPr>
          <w:rFonts w:ascii="Times New Roman" w:hAnsi="Times New Roman" w:cs="Times New Roman"/>
          <w:sz w:val="24"/>
          <w:szCs w:val="24"/>
          <w:lang w:val="fr-FR"/>
        </w:rPr>
        <w:t>la commodité de la lecture est totalement exclue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. Leur statut ontologique dépasse </w:t>
      </w:r>
      <w:r w:rsidR="002D0BD6">
        <w:rPr>
          <w:rFonts w:ascii="Times New Roman" w:hAnsi="Times New Roman" w:cs="Times New Roman"/>
          <w:sz w:val="24"/>
          <w:szCs w:val="24"/>
          <w:lang w:val="fr-FR"/>
        </w:rPr>
        <w:t xml:space="preserve">par de loin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la notion de </w:t>
      </w:r>
      <w:r w:rsidR="00022E27" w:rsidRPr="002D0BD6">
        <w:rPr>
          <w:rFonts w:ascii="Times New Roman" w:hAnsi="Times New Roman" w:cs="Times New Roman"/>
          <w:i/>
          <w:sz w:val="24"/>
          <w:szCs w:val="24"/>
          <w:lang w:val="fr-FR"/>
        </w:rPr>
        <w:t>message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. En fait, ces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texte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e sont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pas écrit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s pour le lecteur: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ils font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pa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>rtie de l'image du Sauveur et du Prophète Aaron et, p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our cette raison, nous les voyons peint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F65BA1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leur point </w:t>
      </w:r>
      <w:r w:rsidR="00F65BA1" w:rsidRPr="00F65BA1">
        <w:rPr>
          <w:rFonts w:ascii="Times New Roman" w:hAnsi="Times New Roman" w:cs="Times New Roman"/>
          <w:sz w:val="24"/>
          <w:szCs w:val="24"/>
          <w:lang w:val="fr-FR"/>
        </w:rPr>
        <w:t>de vue –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5BA1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221B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5BA1" w:rsidRPr="00F65BA1">
        <w:rPr>
          <w:rFonts w:ascii="Times New Roman" w:hAnsi="Times New Roman" w:cs="Times New Roman"/>
          <w:sz w:val="24"/>
          <w:szCs w:val="24"/>
          <w:lang w:val="fr-FR"/>
        </w:rPr>
        <w:t>pas du</w:t>
      </w:r>
      <w:r w:rsidR="00022E2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nôtre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86077" w:rsidRPr="00F65BA1" w:rsidRDefault="00F65BA1" w:rsidP="00942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    Les 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>écriture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spéculaire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dans les icônes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sont aussi rares q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ue dans la peinture monumentale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016C0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D'après 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 xml:space="preserve">nos </w:t>
      </w:r>
      <w:r w:rsidR="008016C0" w:rsidRPr="00F65BA1">
        <w:rPr>
          <w:rFonts w:ascii="Times New Roman" w:hAnsi="Times New Roman" w:cs="Times New Roman"/>
          <w:sz w:val="24"/>
          <w:szCs w:val="24"/>
          <w:lang w:val="fr-FR"/>
        </w:rPr>
        <w:t>données</w:t>
      </w:r>
      <w:r w:rsidR="008016C0" w:rsidRPr="001713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1713E1" w:rsidRPr="001713E1">
        <w:rPr>
          <w:rFonts w:ascii="Times New Roman" w:hAnsi="Times New Roman" w:cs="Times New Roman"/>
          <w:sz w:val="24"/>
          <w:szCs w:val="24"/>
          <w:lang w:val="fr-FR"/>
        </w:rPr>
        <w:t>l y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713E1" w:rsidRPr="001713E1">
        <w:rPr>
          <w:rFonts w:ascii="Times New Roman" w:hAnsi="Times New Roman" w:cs="Times New Roman"/>
          <w:sz w:val="24"/>
          <w:szCs w:val="24"/>
          <w:lang w:val="fr-FR"/>
        </w:rPr>
        <w:t>a, cependant, deux icônes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 xml:space="preserve"> roumaines o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>ù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9289B">
        <w:rPr>
          <w:rFonts w:ascii="Times New Roman" w:hAnsi="Times New Roman" w:cs="Times New Roman"/>
          <w:sz w:val="24"/>
          <w:szCs w:val="24"/>
          <w:lang w:val="fr-FR"/>
        </w:rPr>
        <w:t>a été appliqué</w:t>
      </w:r>
      <w:r w:rsidR="001713E1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9289B">
        <w:rPr>
          <w:rFonts w:ascii="Times New Roman" w:hAnsi="Times New Roman" w:cs="Times New Roman"/>
          <w:sz w:val="24"/>
          <w:szCs w:val="24"/>
          <w:lang w:val="fr-FR"/>
        </w:rPr>
        <w:t>ce type d</w:t>
      </w:r>
      <w:r w:rsidR="001713E1" w:rsidRPr="00F65BA1">
        <w:rPr>
          <w:rFonts w:ascii="Times New Roman" w:hAnsi="Times New Roman" w:cs="Times New Roman"/>
          <w:sz w:val="24"/>
          <w:szCs w:val="24"/>
          <w:lang w:val="fr-FR"/>
        </w:rPr>
        <w:t>'écriture.</w:t>
      </w:r>
      <w:r w:rsidR="001713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 xml:space="preserve">Ces </w:t>
      </w:r>
      <w:r w:rsidR="008016C0" w:rsidRPr="001713E1">
        <w:rPr>
          <w:rFonts w:ascii="Times New Roman" w:hAnsi="Times New Roman" w:cs="Times New Roman"/>
          <w:sz w:val="24"/>
          <w:szCs w:val="24"/>
          <w:lang w:val="fr-FR"/>
        </w:rPr>
        <w:t>icônes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ont été découvert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>s et étudiés en détail par notre collègue, le Dr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Marina Ileana Sabados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>, q</w:t>
      </w:r>
      <w:r w:rsidR="008016C0" w:rsidRPr="008016C0">
        <w:rPr>
          <w:rFonts w:ascii="Times New Roman" w:hAnsi="Times New Roman" w:cs="Times New Roman"/>
          <w:sz w:val="24"/>
          <w:szCs w:val="24"/>
          <w:lang w:val="fr-FR"/>
        </w:rPr>
        <w:t xml:space="preserve">ue nous remercions pour 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préc</w:t>
      </w:r>
      <w:r w:rsidR="00A9289B">
        <w:rPr>
          <w:rFonts w:ascii="Times New Roman" w:hAnsi="Times New Roman" w:cs="Times New Roman"/>
          <w:sz w:val="24"/>
          <w:szCs w:val="24"/>
          <w:lang w:val="fr-FR"/>
        </w:rPr>
        <w:t>ieux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016C0" w:rsidRPr="008016C0">
        <w:rPr>
          <w:rFonts w:ascii="Times New Roman" w:hAnsi="Times New Roman" w:cs="Times New Roman"/>
          <w:sz w:val="24"/>
          <w:szCs w:val="24"/>
          <w:lang w:val="fr-FR"/>
        </w:rPr>
        <w:t>renseignements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 xml:space="preserve"> qu'elle nous a fournis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. La première de ces icônes 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 xml:space="preserve">est peinte au 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>XVI</w:t>
      </w:r>
      <w:r w:rsidR="00A9289B" w:rsidRPr="00221B1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siècl</w:t>
      </w:r>
      <w:r w:rsidR="00A9289B">
        <w:rPr>
          <w:rFonts w:ascii="Times New Roman" w:hAnsi="Times New Roman" w:cs="Times New Roman"/>
          <w:sz w:val="24"/>
          <w:szCs w:val="24"/>
          <w:lang w:val="fr-FR"/>
        </w:rPr>
        <w:t>e et présente une</w:t>
      </w:r>
      <w:r w:rsidR="008016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D0BD6" w:rsidRPr="004E25AE">
        <w:rPr>
          <w:rFonts w:ascii="Times New Roman" w:hAnsi="Times New Roman" w:cs="Times New Roman"/>
          <w:sz w:val="24"/>
          <w:szCs w:val="24"/>
          <w:lang w:val="fr-FR"/>
        </w:rPr>
        <w:t>Vierge</w:t>
      </w:r>
      <w:r w:rsidR="00186077" w:rsidRPr="004E25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9289B" w:rsidRPr="004E25AE">
        <w:rPr>
          <w:rFonts w:ascii="Times New Roman" w:hAnsi="Times New Roman" w:cs="Times New Roman"/>
          <w:sz w:val="24"/>
          <w:szCs w:val="24"/>
          <w:lang w:val="fr-FR"/>
        </w:rPr>
        <w:t xml:space="preserve">de type Hodéguitria </w:t>
      </w:r>
      <w:r w:rsidR="00186077" w:rsidRPr="004E25AE">
        <w:rPr>
          <w:rFonts w:ascii="Times New Roman" w:hAnsi="Times New Roman" w:cs="Times New Roman"/>
          <w:sz w:val="24"/>
          <w:szCs w:val="24"/>
          <w:lang w:val="fr-FR"/>
        </w:rPr>
        <w:t>av</w:t>
      </w:r>
      <w:r w:rsidR="00A9289B" w:rsidRPr="004E25AE">
        <w:rPr>
          <w:rFonts w:ascii="Times New Roman" w:hAnsi="Times New Roman" w:cs="Times New Roman"/>
          <w:sz w:val="24"/>
          <w:szCs w:val="24"/>
          <w:lang w:val="fr-FR"/>
        </w:rPr>
        <w:t>ec l'enfant Jésus dans ses bras</w:t>
      </w:r>
      <w:r w:rsidR="00186077" w:rsidRPr="004E25A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L'icône se trouve à </w:t>
      </w:r>
      <w:r w:rsidR="00A9289B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l'église </w:t>
      </w:r>
      <w:r w:rsidR="00A9289B">
        <w:rPr>
          <w:rFonts w:ascii="Times New Roman" w:hAnsi="Times New Roman" w:cs="Times New Roman"/>
          <w:sz w:val="24"/>
          <w:szCs w:val="24"/>
          <w:lang w:val="fr-FR"/>
        </w:rPr>
        <w:t>Saint-Charalampe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9289B">
        <w:rPr>
          <w:rFonts w:ascii="Times New Roman" w:hAnsi="Times New Roman" w:cs="Times New Roman"/>
          <w:sz w:val="24"/>
          <w:szCs w:val="24"/>
          <w:lang w:val="fr-FR"/>
        </w:rPr>
        <w:t xml:space="preserve">de la ville 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A9289B">
        <w:rPr>
          <w:rFonts w:ascii="Times New Roman" w:hAnsi="Times New Roman" w:cs="Times New Roman"/>
          <w:sz w:val="24"/>
          <w:szCs w:val="24"/>
          <w:lang w:val="ro-RO"/>
        </w:rPr>
        <w:t>Târgul Neamţ (</w:t>
      </w:r>
      <w:r w:rsidR="00A9289B" w:rsidRPr="001713E1">
        <w:rPr>
          <w:rFonts w:ascii="Times New Roman" w:hAnsi="Times New Roman" w:cs="Times New Roman"/>
          <w:sz w:val="24"/>
          <w:szCs w:val="24"/>
          <w:lang w:val="fr-FR"/>
        </w:rPr>
        <w:t>région</w:t>
      </w:r>
      <w:r w:rsidR="00A9289B">
        <w:rPr>
          <w:rFonts w:ascii="Times New Roman" w:hAnsi="Times New Roman" w:cs="Times New Roman"/>
          <w:sz w:val="24"/>
          <w:szCs w:val="24"/>
          <w:lang w:val="ro-RO"/>
        </w:rPr>
        <w:t xml:space="preserve"> de Neamţ)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et contient </w:t>
      </w:r>
      <w:r w:rsidR="002D1788" w:rsidRPr="00F65BA1">
        <w:rPr>
          <w:rFonts w:ascii="Times New Roman" w:hAnsi="Times New Roman" w:cs="Times New Roman"/>
          <w:sz w:val="24"/>
          <w:szCs w:val="24"/>
          <w:lang w:val="fr-FR"/>
        </w:rPr>
        <w:t>l'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inscription </w:t>
      </w:r>
      <w:r w:rsidR="002D1788" w:rsidRPr="00F65BA1">
        <w:rPr>
          <w:rFonts w:ascii="Times New Roman" w:hAnsi="Times New Roman" w:cs="Times New Roman"/>
          <w:sz w:val="24"/>
          <w:szCs w:val="24"/>
          <w:lang w:val="fr-FR"/>
        </w:rPr>
        <w:t>slave «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>АГЛЪ ГНЪ» (</w:t>
      </w:r>
      <w:r w:rsidR="00A073B3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>fr</w:t>
      </w:r>
      <w:r w:rsidR="00A073B3">
        <w:rPr>
          <w:rFonts w:ascii="Times New Roman" w:hAnsi="Times New Roman" w:cs="Times New Roman"/>
          <w:sz w:val="24"/>
          <w:szCs w:val="24"/>
          <w:lang w:val="fr-FR"/>
        </w:rPr>
        <w:t>ançais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: «Ange 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>du Seigneur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») 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>écrite deux fois à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D1788" w:rsidRPr="00F65BA1">
        <w:rPr>
          <w:rFonts w:ascii="Times New Roman" w:hAnsi="Times New Roman" w:cs="Times New Roman"/>
          <w:sz w:val="24"/>
          <w:szCs w:val="24"/>
          <w:lang w:val="fr-FR"/>
        </w:rPr>
        <w:t>l'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altitude 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 xml:space="preserve">des halos de 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deux anges flanquant l'image 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 xml:space="preserve">de la Vierge. Si le texte 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2D1788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l'inscription 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>gauche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r w:rsidR="002D1788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écrit 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>comme d</w:t>
      </w:r>
      <w:r w:rsidR="002D1788" w:rsidRPr="00F65BA1">
        <w:rPr>
          <w:rFonts w:ascii="Times New Roman" w:hAnsi="Times New Roman" w:cs="Times New Roman"/>
          <w:sz w:val="24"/>
          <w:szCs w:val="24"/>
          <w:lang w:val="fr-FR"/>
        </w:rPr>
        <w:t>'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>habitu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2D1788">
        <w:rPr>
          <w:rFonts w:ascii="Times New Roman" w:hAnsi="Times New Roman" w:cs="Times New Roman"/>
          <w:sz w:val="24"/>
          <w:szCs w:val="24"/>
          <w:lang w:val="fr-FR"/>
        </w:rPr>
        <w:t>de gauche à droite</w:t>
      </w:r>
      <w:r w:rsidR="00A073B3">
        <w:rPr>
          <w:rFonts w:ascii="Times New Roman" w:hAnsi="Times New Roman" w:cs="Times New Roman"/>
          <w:sz w:val="24"/>
          <w:szCs w:val="24"/>
          <w:lang w:val="fr-FR"/>
        </w:rPr>
        <w:t>, conformément au système d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'abréviation de la </w:t>
      </w:r>
      <w:r w:rsidR="00A073B3">
        <w:rPr>
          <w:rFonts w:ascii="Times New Roman" w:hAnsi="Times New Roman" w:cs="Times New Roman"/>
          <w:sz w:val="24"/>
          <w:szCs w:val="24"/>
          <w:lang w:val="fr-FR"/>
        </w:rPr>
        <w:t xml:space="preserve">langue </w:t>
      </w:r>
      <w:r w:rsidR="00A073B3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slave </w:t>
      </w:r>
      <w:r w:rsidR="00A073B3">
        <w:rPr>
          <w:rFonts w:ascii="Times New Roman" w:hAnsi="Times New Roman" w:cs="Times New Roman"/>
          <w:sz w:val="24"/>
          <w:szCs w:val="24"/>
          <w:lang w:val="fr-FR"/>
        </w:rPr>
        <w:t xml:space="preserve">de cette période, alors le texte </w:t>
      </w:r>
      <w:r w:rsidR="00A073B3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de l'inscription </w:t>
      </w:r>
      <w:r w:rsidR="00A073B3">
        <w:rPr>
          <w:rFonts w:ascii="Times New Roman" w:hAnsi="Times New Roman" w:cs="Times New Roman"/>
          <w:sz w:val="24"/>
          <w:szCs w:val="24"/>
          <w:lang w:val="fr-FR"/>
        </w:rPr>
        <w:t>droite est sa fidèle copie «en miroir</w:t>
      </w:r>
      <w:r w:rsidR="00A073B3" w:rsidRPr="00F65BA1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. Cette copie est en fait une inscription spéculaire qui suit </w:t>
      </w:r>
      <w:r w:rsidR="00A073B3">
        <w:rPr>
          <w:rFonts w:ascii="Times New Roman" w:hAnsi="Times New Roman" w:cs="Times New Roman"/>
          <w:sz w:val="24"/>
          <w:szCs w:val="24"/>
          <w:lang w:val="fr-FR"/>
        </w:rPr>
        <w:t xml:space="preserve">le principe de </w:t>
      </w:r>
      <w:r w:rsidR="00A073B3" w:rsidRPr="002D0BD6">
        <w:rPr>
          <w:rFonts w:ascii="Times New Roman" w:hAnsi="Times New Roman" w:cs="Times New Roman"/>
          <w:i/>
          <w:sz w:val="24"/>
          <w:szCs w:val="24"/>
          <w:lang w:val="fr-FR"/>
        </w:rPr>
        <w:t>symétrie absolue</w:t>
      </w:r>
      <w:r w:rsidR="00186077" w:rsidRPr="00F65BA1">
        <w:rPr>
          <w:rFonts w:ascii="Times New Roman" w:hAnsi="Times New Roman" w:cs="Times New Roman"/>
          <w:sz w:val="24"/>
          <w:szCs w:val="24"/>
          <w:lang w:val="fr-FR"/>
        </w:rPr>
        <w:t>, dans le plus pur sens mathématique du terme.</w:t>
      </w:r>
    </w:p>
    <w:p w:rsidR="00AB3726" w:rsidRPr="00AB3726" w:rsidRDefault="00186077" w:rsidP="00942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   Un autre exemple d'écriture spéculaire </w:t>
      </w:r>
      <w:r w:rsidR="00A073B3">
        <w:rPr>
          <w:rFonts w:ascii="Times New Roman" w:hAnsi="Times New Roman" w:cs="Times New Roman"/>
          <w:sz w:val="24"/>
          <w:szCs w:val="24"/>
          <w:lang w:val="fr-FR"/>
        </w:rPr>
        <w:t>nous trouvons dans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l'icône </w:t>
      </w:r>
      <w:r w:rsidR="002D0BD6">
        <w:rPr>
          <w:rFonts w:ascii="Times New Roman" w:hAnsi="Times New Roman" w:cs="Times New Roman"/>
          <w:sz w:val="24"/>
          <w:szCs w:val="24"/>
          <w:lang w:val="fr-FR"/>
        </w:rPr>
        <w:t xml:space="preserve">de la </w:t>
      </w:r>
      <w:r w:rsidR="002D0BD6" w:rsidRPr="004E25AE">
        <w:rPr>
          <w:rFonts w:ascii="Times New Roman" w:hAnsi="Times New Roman" w:cs="Times New Roman"/>
          <w:i/>
          <w:sz w:val="24"/>
          <w:szCs w:val="24"/>
          <w:lang w:val="fr-FR"/>
        </w:rPr>
        <w:t xml:space="preserve">Vierge Hodéguitria avec l'enfant Jésus </w:t>
      </w:r>
      <w:r w:rsidR="004E25AE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E25AE">
        <w:rPr>
          <w:rFonts w:ascii="Times New Roman" w:hAnsi="Times New Roman" w:cs="Times New Roman"/>
          <w:sz w:val="24"/>
          <w:szCs w:val="24"/>
          <w:lang w:val="fr-FR"/>
        </w:rPr>
        <w:t xml:space="preserve">Musée de 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4E25AE" w:rsidRPr="00C215C3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C215C3">
        <w:rPr>
          <w:rFonts w:ascii="Times New Roman" w:hAnsi="Times New Roman" w:cs="Times New Roman"/>
          <w:sz w:val="24"/>
          <w:szCs w:val="24"/>
          <w:lang w:val="fr-FR"/>
        </w:rPr>
        <w:t xml:space="preserve">'art </w:t>
      </w:r>
      <w:r w:rsidR="004E25AE" w:rsidRPr="00C215C3">
        <w:rPr>
          <w:rFonts w:ascii="Times New Roman" w:hAnsi="Times New Roman" w:cs="Times New Roman"/>
          <w:sz w:val="24"/>
          <w:szCs w:val="24"/>
          <w:lang w:val="fr-FR"/>
        </w:rPr>
        <w:t>du bois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4E25AE">
        <w:rPr>
          <w:rFonts w:ascii="Times New Roman" w:hAnsi="Times New Roman" w:cs="Times New Roman"/>
          <w:sz w:val="24"/>
          <w:szCs w:val="24"/>
          <w:lang w:val="fr-FR"/>
        </w:rPr>
        <w:t xml:space="preserve">la ville 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4E25AE">
        <w:rPr>
          <w:rFonts w:ascii="Times New Roman" w:hAnsi="Times New Roman" w:cs="Times New Roman"/>
          <w:sz w:val="24"/>
          <w:szCs w:val="24"/>
          <w:lang w:val="fr-FR"/>
        </w:rPr>
        <w:t>Câ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mpulung </w:t>
      </w:r>
      <w:r w:rsidR="004E25AE">
        <w:rPr>
          <w:rFonts w:ascii="Times New Roman" w:hAnsi="Times New Roman" w:cs="Times New Roman"/>
          <w:sz w:val="24"/>
          <w:szCs w:val="24"/>
          <w:lang w:val="fr-FR"/>
        </w:rPr>
        <w:t>Moldovenesc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. Cette </w:t>
      </w:r>
      <w:r w:rsidR="004E25AE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icône </w:t>
      </w:r>
      <w:r w:rsidR="001A4080" w:rsidRPr="001A4080">
        <w:rPr>
          <w:rFonts w:ascii="Times New Roman" w:hAnsi="Times New Roman" w:cs="Times New Roman"/>
          <w:sz w:val="24"/>
          <w:szCs w:val="24"/>
          <w:lang w:val="fr-FR"/>
        </w:rPr>
        <w:t>appartient à</w:t>
      </w:r>
      <w:r w:rsidR="001A40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4080" w:rsidRPr="00F65BA1">
        <w:rPr>
          <w:rFonts w:ascii="Times New Roman" w:hAnsi="Times New Roman" w:cs="Times New Roman"/>
          <w:sz w:val="24"/>
          <w:szCs w:val="24"/>
          <w:lang w:val="fr-FR"/>
        </w:rPr>
        <w:t>l'école de peinture moldave</w:t>
      </w:r>
      <w:r w:rsidR="001A4080">
        <w:rPr>
          <w:rFonts w:ascii="Times New Roman" w:hAnsi="Times New Roman" w:cs="Times New Roman"/>
          <w:sz w:val="24"/>
          <w:szCs w:val="24"/>
          <w:lang w:val="fr-FR"/>
        </w:rPr>
        <w:t xml:space="preserve"> et a </w:t>
      </w:r>
      <w:r w:rsidR="001A4080" w:rsidRPr="00F65BA1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1A4080">
        <w:rPr>
          <w:rFonts w:ascii="Times New Roman" w:hAnsi="Times New Roman" w:cs="Times New Roman"/>
          <w:sz w:val="24"/>
          <w:szCs w:val="24"/>
          <w:lang w:val="fr-FR"/>
        </w:rPr>
        <w:t xml:space="preserve">e numéro d'inventaire 569/1176. Elle </w:t>
      </w:r>
      <w:r w:rsidR="004E25AE" w:rsidRPr="00F65BA1">
        <w:rPr>
          <w:rFonts w:ascii="Times New Roman" w:hAnsi="Times New Roman" w:cs="Times New Roman"/>
          <w:sz w:val="24"/>
          <w:szCs w:val="24"/>
          <w:lang w:val="fr-FR"/>
        </w:rPr>
        <w:t>est datée de l'année 7141 (1633/1634)</w:t>
      </w:r>
      <w:r w:rsidR="001A4080">
        <w:rPr>
          <w:rFonts w:ascii="Times New Roman" w:hAnsi="Times New Roman" w:cs="Times New Roman"/>
          <w:sz w:val="24"/>
          <w:szCs w:val="24"/>
          <w:lang w:val="fr-FR"/>
        </w:rPr>
        <w:t xml:space="preserve"> et présente un don d’</w:t>
      </w:r>
      <w:r w:rsidR="001A4080" w:rsidRPr="00F65BA1">
        <w:rPr>
          <w:rFonts w:ascii="Times New Roman" w:hAnsi="Times New Roman" w:cs="Times New Roman"/>
          <w:sz w:val="24"/>
          <w:szCs w:val="24"/>
          <w:lang w:val="fr-FR"/>
        </w:rPr>
        <w:t>une personne nom</w:t>
      </w:r>
      <w:r w:rsidR="001A4080">
        <w:rPr>
          <w:rFonts w:ascii="Times New Roman" w:hAnsi="Times New Roman" w:cs="Times New Roman"/>
          <w:sz w:val="24"/>
          <w:szCs w:val="24"/>
          <w:lang w:val="fr-FR"/>
        </w:rPr>
        <w:t xml:space="preserve">mée </w:t>
      </w:r>
      <w:r w:rsidR="001A4080" w:rsidRPr="001A4080">
        <w:rPr>
          <w:rFonts w:ascii="Times New Roman" w:hAnsi="Times New Roman" w:cs="Times New Roman"/>
          <w:i/>
          <w:sz w:val="24"/>
          <w:szCs w:val="24"/>
          <w:lang w:val="fr-FR"/>
        </w:rPr>
        <w:t>Toader</w:t>
      </w:r>
      <w:r w:rsidR="001A4080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1A4080">
        <w:rPr>
          <w:rFonts w:ascii="Times New Roman" w:hAnsi="Times New Roman" w:cs="Times New Roman"/>
          <w:sz w:val="24"/>
          <w:szCs w:val="24"/>
          <w:lang w:val="fr-FR"/>
        </w:rPr>
        <w:t>de son épouse, appelé dans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 xml:space="preserve"> l'inscription</w:t>
      </w:r>
      <w:r w:rsidR="001A40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4080" w:rsidRPr="001A4080">
        <w:rPr>
          <w:rFonts w:ascii="Times New Roman" w:hAnsi="Times New Roman" w:cs="Times New Roman"/>
          <w:i/>
          <w:sz w:val="24"/>
          <w:szCs w:val="24"/>
          <w:lang w:val="fr-FR"/>
        </w:rPr>
        <w:t>Sophrone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1A4080" w:rsidRPr="00F65BA1">
        <w:rPr>
          <w:rFonts w:ascii="Times New Roman" w:hAnsi="Times New Roman" w:cs="Times New Roman"/>
          <w:sz w:val="24"/>
          <w:szCs w:val="24"/>
          <w:lang w:val="fr-FR"/>
        </w:rPr>
        <w:t>probablement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A4080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 xml:space="preserve">il s’agit ici d’une distorsion du nom féminin de </w:t>
      </w:r>
      <w:r w:rsidR="003259D3" w:rsidRPr="003259D3">
        <w:rPr>
          <w:rFonts w:ascii="Times New Roman" w:hAnsi="Times New Roman" w:cs="Times New Roman"/>
          <w:i/>
          <w:sz w:val="24"/>
          <w:szCs w:val="24"/>
          <w:lang w:val="fr-FR"/>
        </w:rPr>
        <w:t>Sophronia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1A408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'inscription 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 xml:space="preserve">du donateur et la signature du peintre sont écrites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sur ​​le bord inférieur de 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300D3B">
        <w:rPr>
          <w:rFonts w:ascii="Times New Roman" w:hAnsi="Times New Roman" w:cs="Times New Roman"/>
          <w:sz w:val="24"/>
          <w:szCs w:val="24"/>
          <w:lang w:val="fr-FR"/>
        </w:rPr>
        <w:t xml:space="preserve">face de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l'icône 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>et sont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très endommagé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>En ce qui concerne l</w:t>
      </w:r>
      <w:r w:rsidR="003259D3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'inscription </w:t>
      </w:r>
      <w:r w:rsidR="003259D3">
        <w:rPr>
          <w:rFonts w:ascii="Times New Roman" w:hAnsi="Times New Roman" w:cs="Times New Roman"/>
          <w:sz w:val="24"/>
          <w:szCs w:val="24"/>
          <w:lang w:val="fr-FR"/>
        </w:rPr>
        <w:t>du donateur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259D3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elle n</w:t>
      </w:r>
      <w:r w:rsidR="00DE5A15" w:rsidRPr="00F65BA1">
        <w:rPr>
          <w:rFonts w:ascii="Times New Roman" w:hAnsi="Times New Roman" w:cs="Times New Roman"/>
          <w:sz w:val="24"/>
          <w:szCs w:val="24"/>
          <w:lang w:val="fr-FR"/>
        </w:rPr>
        <w:t>'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a rien d</w:t>
      </w:r>
      <w:r w:rsidR="00DE5A15" w:rsidRPr="00F65BA1">
        <w:rPr>
          <w:rFonts w:ascii="Times New Roman" w:hAnsi="Times New Roman" w:cs="Times New Roman"/>
          <w:sz w:val="24"/>
          <w:szCs w:val="24"/>
          <w:lang w:val="fr-FR"/>
        </w:rPr>
        <w:t>'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extraordinaire</w:t>
      </w:r>
      <w:r w:rsidR="00DE5A15" w:rsidRPr="00DE5A15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 xml:space="preserve"> elle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est écrit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 xml:space="preserve">en langue slave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de gauche à droite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ave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 xml:space="preserve">c des caractères cyrilliques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noir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ordinaire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eulement 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la s</w:t>
      </w:r>
      <w:r w:rsidR="00DE5A15"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ignature 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C215C3" w:rsidRPr="00C215C3">
        <w:rPr>
          <w:rFonts w:ascii="Times New Roman" w:hAnsi="Times New Roman" w:cs="Times New Roman"/>
          <w:i/>
          <w:sz w:val="24"/>
          <w:szCs w:val="24"/>
          <w:lang w:val="fr-FR"/>
        </w:rPr>
        <w:t>Antonie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 xml:space="preserve"> » 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 xml:space="preserve">du peintre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t calligraphiée «en miroir</w:t>
      </w:r>
      <w:r w:rsidR="00DE5A15" w:rsidRPr="00F65BA1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. Cette signature re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>présente un exemple typique d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'écr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 xml:space="preserve">iture spéculaire visant </w:t>
      </w:r>
      <w:r w:rsidR="00300D3B">
        <w:rPr>
          <w:rFonts w:ascii="Times New Roman" w:hAnsi="Times New Roman" w:cs="Times New Roman"/>
          <w:sz w:val="24"/>
          <w:szCs w:val="24"/>
          <w:lang w:val="fr-FR"/>
        </w:rPr>
        <w:t>d'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 xml:space="preserve">imprimer 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 xml:space="preserve">– en cas si ce n'était pas un caprice 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>arbitraire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5A15">
        <w:rPr>
          <w:rFonts w:ascii="Times New Roman" w:hAnsi="Times New Roman" w:cs="Times New Roman"/>
          <w:sz w:val="24"/>
          <w:szCs w:val="24"/>
          <w:lang w:val="fr-FR"/>
        </w:rPr>
        <w:t xml:space="preserve">de l’artiste </w:t>
      </w:r>
      <w:r w:rsidR="00DE5A15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C215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 xml:space="preserve">une «dimension» personnelle à l'œuvre d’art créée, à savoir – une différenciation et une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authentification 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 xml:space="preserve">par rapport 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 xml:space="preserve">à d'autres peintres </w:t>
      </w:r>
      <w:r w:rsidR="00C215C3" w:rsidRPr="00F65BA1">
        <w:rPr>
          <w:rFonts w:ascii="Times New Roman" w:hAnsi="Times New Roman" w:cs="Times New Roman"/>
          <w:sz w:val="24"/>
          <w:szCs w:val="24"/>
          <w:lang w:val="fr-FR"/>
        </w:rPr>
        <w:t>homonyme</w:t>
      </w:r>
      <w:r w:rsidR="00C215C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65B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00D3B" w:rsidRPr="00300D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AB3726" w:rsidRPr="00AB3726" w:rsidSect="0092741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71" w:rsidRDefault="00991C71" w:rsidP="00694403">
      <w:pPr>
        <w:spacing w:after="0" w:line="240" w:lineRule="auto"/>
      </w:pPr>
      <w:r>
        <w:separator/>
      </w:r>
    </w:p>
  </w:endnote>
  <w:endnote w:type="continuationSeparator" w:id="1">
    <w:p w:rsidR="00991C71" w:rsidRDefault="00991C71" w:rsidP="0069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4795928"/>
      <w:docPartObj>
        <w:docPartGallery w:val="Page Numbers (Bottom of Page)"/>
        <w:docPartUnique/>
      </w:docPartObj>
    </w:sdtPr>
    <w:sdtContent>
      <w:p w:rsidR="00FF027F" w:rsidRDefault="00515B19">
        <w:pPr>
          <w:pStyle w:val="Footer"/>
          <w:jc w:val="right"/>
        </w:pPr>
        <w:fldSimple w:instr=" PAGE   \* MERGEFORMAT ">
          <w:r w:rsidR="00942292">
            <w:rPr>
              <w:noProof/>
            </w:rPr>
            <w:t>1</w:t>
          </w:r>
        </w:fldSimple>
        <w:r w:rsidR="00FF027F">
          <w:t xml:space="preserve"> </w:t>
        </w:r>
      </w:p>
    </w:sdtContent>
  </w:sdt>
  <w:p w:rsidR="00FF027F" w:rsidRDefault="00FF02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71" w:rsidRDefault="00991C71" w:rsidP="00694403">
      <w:pPr>
        <w:spacing w:after="0" w:line="240" w:lineRule="auto"/>
      </w:pPr>
      <w:r>
        <w:separator/>
      </w:r>
    </w:p>
  </w:footnote>
  <w:footnote w:type="continuationSeparator" w:id="1">
    <w:p w:rsidR="00991C71" w:rsidRDefault="00991C71" w:rsidP="0069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3952"/>
    <w:multiLevelType w:val="hybridMultilevel"/>
    <w:tmpl w:val="7CFC4138"/>
    <w:lvl w:ilvl="0" w:tplc="911EBD6C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552"/>
    <w:rsid w:val="00011715"/>
    <w:rsid w:val="00022E27"/>
    <w:rsid w:val="0002505B"/>
    <w:rsid w:val="00026294"/>
    <w:rsid w:val="00044D67"/>
    <w:rsid w:val="00045F0E"/>
    <w:rsid w:val="00060174"/>
    <w:rsid w:val="000602ED"/>
    <w:rsid w:val="0006617C"/>
    <w:rsid w:val="000858B3"/>
    <w:rsid w:val="00097AA7"/>
    <w:rsid w:val="000A2953"/>
    <w:rsid w:val="000A7E51"/>
    <w:rsid w:val="000B09D2"/>
    <w:rsid w:val="000C09CC"/>
    <w:rsid w:val="000C5A33"/>
    <w:rsid w:val="000D4DD9"/>
    <w:rsid w:val="000E7F99"/>
    <w:rsid w:val="00103CA7"/>
    <w:rsid w:val="00115176"/>
    <w:rsid w:val="0012694C"/>
    <w:rsid w:val="00137C41"/>
    <w:rsid w:val="001423A6"/>
    <w:rsid w:val="00143A2D"/>
    <w:rsid w:val="001448EB"/>
    <w:rsid w:val="00161407"/>
    <w:rsid w:val="001713E1"/>
    <w:rsid w:val="00186077"/>
    <w:rsid w:val="001A0AC0"/>
    <w:rsid w:val="001A4080"/>
    <w:rsid w:val="001A5601"/>
    <w:rsid w:val="001C3A99"/>
    <w:rsid w:val="001D7558"/>
    <w:rsid w:val="0021642F"/>
    <w:rsid w:val="00221B15"/>
    <w:rsid w:val="00234374"/>
    <w:rsid w:val="002373E8"/>
    <w:rsid w:val="002552F0"/>
    <w:rsid w:val="00256319"/>
    <w:rsid w:val="00280EC6"/>
    <w:rsid w:val="00282291"/>
    <w:rsid w:val="002A166E"/>
    <w:rsid w:val="002A42AC"/>
    <w:rsid w:val="002B3579"/>
    <w:rsid w:val="002C1576"/>
    <w:rsid w:val="002D0BD6"/>
    <w:rsid w:val="002D1788"/>
    <w:rsid w:val="002E65FE"/>
    <w:rsid w:val="00300D3B"/>
    <w:rsid w:val="00323B23"/>
    <w:rsid w:val="00324747"/>
    <w:rsid w:val="003259D3"/>
    <w:rsid w:val="0038239D"/>
    <w:rsid w:val="00384B0B"/>
    <w:rsid w:val="003C7C42"/>
    <w:rsid w:val="003E4246"/>
    <w:rsid w:val="00400BA7"/>
    <w:rsid w:val="00400D19"/>
    <w:rsid w:val="00405FC5"/>
    <w:rsid w:val="00454F8A"/>
    <w:rsid w:val="0048645D"/>
    <w:rsid w:val="004A610D"/>
    <w:rsid w:val="004A656F"/>
    <w:rsid w:val="004B4E5F"/>
    <w:rsid w:val="004D0D88"/>
    <w:rsid w:val="004E25AE"/>
    <w:rsid w:val="004E6F4E"/>
    <w:rsid w:val="004F1FE4"/>
    <w:rsid w:val="00511E93"/>
    <w:rsid w:val="005148EF"/>
    <w:rsid w:val="00515B19"/>
    <w:rsid w:val="00534B05"/>
    <w:rsid w:val="00552F47"/>
    <w:rsid w:val="00573E9A"/>
    <w:rsid w:val="00580239"/>
    <w:rsid w:val="00581DFF"/>
    <w:rsid w:val="00585E03"/>
    <w:rsid w:val="005F1B72"/>
    <w:rsid w:val="00652367"/>
    <w:rsid w:val="00653F8C"/>
    <w:rsid w:val="00655FC2"/>
    <w:rsid w:val="00662172"/>
    <w:rsid w:val="00675367"/>
    <w:rsid w:val="00675987"/>
    <w:rsid w:val="006863AB"/>
    <w:rsid w:val="00694403"/>
    <w:rsid w:val="006B6980"/>
    <w:rsid w:val="006C44B5"/>
    <w:rsid w:val="006D77D4"/>
    <w:rsid w:val="006E5292"/>
    <w:rsid w:val="006E6248"/>
    <w:rsid w:val="006F19C1"/>
    <w:rsid w:val="00712234"/>
    <w:rsid w:val="00713761"/>
    <w:rsid w:val="00714D2B"/>
    <w:rsid w:val="00750AD4"/>
    <w:rsid w:val="00771EDF"/>
    <w:rsid w:val="007854D6"/>
    <w:rsid w:val="007A366F"/>
    <w:rsid w:val="007A3F83"/>
    <w:rsid w:val="007B6BEB"/>
    <w:rsid w:val="00800F46"/>
    <w:rsid w:val="008016C0"/>
    <w:rsid w:val="00805C31"/>
    <w:rsid w:val="00807F98"/>
    <w:rsid w:val="0083426F"/>
    <w:rsid w:val="008A7827"/>
    <w:rsid w:val="008B4C35"/>
    <w:rsid w:val="008B4E1D"/>
    <w:rsid w:val="008D2512"/>
    <w:rsid w:val="00913ABC"/>
    <w:rsid w:val="00927410"/>
    <w:rsid w:val="009340DC"/>
    <w:rsid w:val="00942292"/>
    <w:rsid w:val="0095111F"/>
    <w:rsid w:val="00965F3D"/>
    <w:rsid w:val="00982B4D"/>
    <w:rsid w:val="00991C71"/>
    <w:rsid w:val="009D1DC7"/>
    <w:rsid w:val="009D3552"/>
    <w:rsid w:val="009E1320"/>
    <w:rsid w:val="00A06787"/>
    <w:rsid w:val="00A073B3"/>
    <w:rsid w:val="00A600CC"/>
    <w:rsid w:val="00A60A4B"/>
    <w:rsid w:val="00A64ED8"/>
    <w:rsid w:val="00A734FF"/>
    <w:rsid w:val="00A7755B"/>
    <w:rsid w:val="00A81CDB"/>
    <w:rsid w:val="00A9289B"/>
    <w:rsid w:val="00A9458C"/>
    <w:rsid w:val="00A96A16"/>
    <w:rsid w:val="00AA6CA4"/>
    <w:rsid w:val="00AB3726"/>
    <w:rsid w:val="00AD118A"/>
    <w:rsid w:val="00AE252B"/>
    <w:rsid w:val="00B06B3D"/>
    <w:rsid w:val="00B12000"/>
    <w:rsid w:val="00B27642"/>
    <w:rsid w:val="00B33A06"/>
    <w:rsid w:val="00B40A8C"/>
    <w:rsid w:val="00B4500E"/>
    <w:rsid w:val="00B5657F"/>
    <w:rsid w:val="00B56973"/>
    <w:rsid w:val="00B653FB"/>
    <w:rsid w:val="00B92EF8"/>
    <w:rsid w:val="00B95F2B"/>
    <w:rsid w:val="00BF665A"/>
    <w:rsid w:val="00BF75C7"/>
    <w:rsid w:val="00C01E05"/>
    <w:rsid w:val="00C215C3"/>
    <w:rsid w:val="00C2558C"/>
    <w:rsid w:val="00C33430"/>
    <w:rsid w:val="00C37914"/>
    <w:rsid w:val="00C76E8F"/>
    <w:rsid w:val="00C97B8E"/>
    <w:rsid w:val="00C97C98"/>
    <w:rsid w:val="00CA2D7F"/>
    <w:rsid w:val="00CB1D8F"/>
    <w:rsid w:val="00CB3ED4"/>
    <w:rsid w:val="00CC324E"/>
    <w:rsid w:val="00CC7575"/>
    <w:rsid w:val="00CE3433"/>
    <w:rsid w:val="00D00719"/>
    <w:rsid w:val="00D144B5"/>
    <w:rsid w:val="00D236F0"/>
    <w:rsid w:val="00D5044E"/>
    <w:rsid w:val="00D855BB"/>
    <w:rsid w:val="00D9707B"/>
    <w:rsid w:val="00DA775D"/>
    <w:rsid w:val="00DE5A15"/>
    <w:rsid w:val="00DF3944"/>
    <w:rsid w:val="00DF53A5"/>
    <w:rsid w:val="00E20FF3"/>
    <w:rsid w:val="00E22034"/>
    <w:rsid w:val="00E370C7"/>
    <w:rsid w:val="00E5006E"/>
    <w:rsid w:val="00E80C3A"/>
    <w:rsid w:val="00E91154"/>
    <w:rsid w:val="00E92323"/>
    <w:rsid w:val="00E93BEB"/>
    <w:rsid w:val="00EA1BEB"/>
    <w:rsid w:val="00EB7B67"/>
    <w:rsid w:val="00EC698E"/>
    <w:rsid w:val="00ED0599"/>
    <w:rsid w:val="00ED2305"/>
    <w:rsid w:val="00EE2788"/>
    <w:rsid w:val="00F17C7F"/>
    <w:rsid w:val="00F435BB"/>
    <w:rsid w:val="00F51077"/>
    <w:rsid w:val="00F51A42"/>
    <w:rsid w:val="00F52302"/>
    <w:rsid w:val="00F63ABB"/>
    <w:rsid w:val="00F65BA1"/>
    <w:rsid w:val="00F67864"/>
    <w:rsid w:val="00F9057B"/>
    <w:rsid w:val="00FB13C4"/>
    <w:rsid w:val="00FB671E"/>
    <w:rsid w:val="00FD5D0D"/>
    <w:rsid w:val="00FE5E48"/>
    <w:rsid w:val="00FF027F"/>
    <w:rsid w:val="00FF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403"/>
  </w:style>
  <w:style w:type="paragraph" w:styleId="Footer">
    <w:name w:val="footer"/>
    <w:basedOn w:val="Normal"/>
    <w:link w:val="FooterChar"/>
    <w:uiPriority w:val="99"/>
    <w:unhideWhenUsed/>
    <w:rsid w:val="0069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403"/>
  </w:style>
  <w:style w:type="paragraph" w:styleId="EndnoteText">
    <w:name w:val="endnote text"/>
    <w:basedOn w:val="Normal"/>
    <w:link w:val="EndnoteTextChar"/>
    <w:uiPriority w:val="99"/>
    <w:semiHidden/>
    <w:unhideWhenUsed/>
    <w:rsid w:val="006523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3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23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3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3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3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CA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1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95E3-2C47-4C24-831D-73E7B056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66</cp:revision>
  <dcterms:created xsi:type="dcterms:W3CDTF">2013-09-06T14:37:00Z</dcterms:created>
  <dcterms:modified xsi:type="dcterms:W3CDTF">2013-10-08T05:37:00Z</dcterms:modified>
</cp:coreProperties>
</file>