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C7A" w:rsidRPr="00026043" w:rsidRDefault="009A494B" w:rsidP="009A494B">
      <w:pPr>
        <w:jc w:val="right"/>
        <w:rPr>
          <w:rFonts w:eastAsia="Times New Roman"/>
          <w:color w:val="000000"/>
          <w:lang w:val="en-GB"/>
        </w:rPr>
      </w:pPr>
      <w:r w:rsidRPr="009A494B">
        <w:rPr>
          <w:rFonts w:eastAsia="Times New Roman" w:cs="Times New Roman"/>
          <w:color w:val="000000"/>
          <w:lang w:val="en-GB"/>
        </w:rPr>
        <w:t>Miros</w:t>
      </w:r>
      <w:r w:rsidRPr="009A494B">
        <w:rPr>
          <w:rFonts w:cs="Times New Roman"/>
          <w:color w:val="000000"/>
          <w:shd w:val="clear" w:color="auto" w:fill="FFFFFF"/>
        </w:rPr>
        <w:t>ł</w:t>
      </w:r>
      <w:r w:rsidRPr="009A494B">
        <w:rPr>
          <w:rFonts w:eastAsia="Times New Roman" w:cs="Times New Roman"/>
          <w:color w:val="000000"/>
          <w:lang w:val="en-GB"/>
        </w:rPr>
        <w:t>aw</w:t>
      </w:r>
      <w:r>
        <w:rPr>
          <w:rFonts w:eastAsia="Times New Roman"/>
          <w:color w:val="000000"/>
          <w:lang w:val="en-GB"/>
        </w:rPr>
        <w:t xml:space="preserve"> Piotr </w:t>
      </w:r>
      <w:r w:rsidR="00AD5C7A" w:rsidRPr="00026043">
        <w:rPr>
          <w:rFonts w:eastAsia="Times New Roman"/>
          <w:color w:val="000000"/>
          <w:lang w:val="en-GB"/>
        </w:rPr>
        <w:t>Kruk</w:t>
      </w:r>
    </w:p>
    <w:p w:rsidR="00AD5C7A" w:rsidRPr="00026043" w:rsidRDefault="00AD5C7A" w:rsidP="000A2C87">
      <w:pPr>
        <w:rPr>
          <w:rFonts w:eastAsia="Times New Roman"/>
          <w:color w:val="000000"/>
          <w:lang w:val="en-GB"/>
        </w:rPr>
      </w:pPr>
    </w:p>
    <w:p w:rsidR="00AD5C7A" w:rsidRPr="00026043" w:rsidRDefault="00AD5C7A" w:rsidP="000A2C87">
      <w:pPr>
        <w:rPr>
          <w:rFonts w:eastAsia="Times New Roman"/>
          <w:i/>
          <w:color w:val="000000"/>
          <w:lang w:val="en-GB"/>
        </w:rPr>
      </w:pPr>
      <w:r w:rsidRPr="00026043">
        <w:rPr>
          <w:rFonts w:eastAsia="Times New Roman"/>
          <w:i/>
          <w:color w:val="000000"/>
          <w:lang w:val="en-GB"/>
        </w:rPr>
        <w:t xml:space="preserve">Is the so called </w:t>
      </w:r>
      <w:r w:rsidR="00CB197D" w:rsidRPr="00026043">
        <w:rPr>
          <w:rFonts w:eastAsia="Times New Roman"/>
          <w:i/>
          <w:color w:val="000000"/>
          <w:lang w:val="en-GB"/>
        </w:rPr>
        <w:t>Ἄνοτθενοἱ προφετται</w:t>
      </w:r>
      <w:r w:rsidR="00CB197D" w:rsidRPr="00026043">
        <w:rPr>
          <w:rFonts w:eastAsia="Times New Roman"/>
          <w:color w:val="000000"/>
          <w:lang w:val="en-GB"/>
        </w:rPr>
        <w:t xml:space="preserve">, </w:t>
      </w:r>
      <w:r w:rsidRPr="00026043">
        <w:rPr>
          <w:rFonts w:eastAsia="Times New Roman"/>
          <w:color w:val="000000"/>
          <w:lang w:val="en-GB"/>
        </w:rPr>
        <w:t>described</w:t>
      </w:r>
      <w:r w:rsidRPr="00026043">
        <w:rPr>
          <w:rFonts w:eastAsia="Times New Roman"/>
          <w:i/>
          <w:color w:val="000000"/>
          <w:lang w:val="en-GB"/>
        </w:rPr>
        <w:t xml:space="preserve"> in Dionysius’s Hermeneia the source of the iconography of the Mother of God surrounded by prophets?</w:t>
      </w:r>
    </w:p>
    <w:p w:rsidR="00AD5C7A" w:rsidRPr="00026043" w:rsidRDefault="00AD5C7A" w:rsidP="000A2C87">
      <w:pPr>
        <w:rPr>
          <w:rFonts w:eastAsia="Times New Roman"/>
          <w:i/>
          <w:color w:val="000000"/>
          <w:lang w:val="en-GB"/>
        </w:rPr>
      </w:pPr>
    </w:p>
    <w:p w:rsidR="00AD5C7A" w:rsidRPr="00026043" w:rsidRDefault="00553903" w:rsidP="000A2C87">
      <w:pPr>
        <w:ind w:firstLine="708"/>
        <w:rPr>
          <w:szCs w:val="24"/>
          <w:lang w:val="en-GB"/>
        </w:rPr>
      </w:pPr>
      <w:r w:rsidRPr="00026043">
        <w:rPr>
          <w:szCs w:val="24"/>
          <w:lang w:val="en-GB"/>
        </w:rPr>
        <w:t xml:space="preserve">In 1912 </w:t>
      </w:r>
      <w:r w:rsidR="00A40748" w:rsidRPr="00026043">
        <w:rPr>
          <w:szCs w:val="24"/>
          <w:lang w:val="en-GB"/>
        </w:rPr>
        <w:t>Władysław</w:t>
      </w:r>
      <w:r w:rsidR="009A494B">
        <w:rPr>
          <w:szCs w:val="24"/>
          <w:lang w:val="en-GB"/>
        </w:rPr>
        <w:t xml:space="preserve"> </w:t>
      </w:r>
      <w:r w:rsidR="00A40748" w:rsidRPr="00026043">
        <w:rPr>
          <w:szCs w:val="24"/>
          <w:lang w:val="en-GB"/>
        </w:rPr>
        <w:t xml:space="preserve">Podlacha recognized and characterised the subject Hodegetria surrounded by prophets as the illustration of the Hymn </w:t>
      </w:r>
      <w:r w:rsidR="00A40748" w:rsidRPr="00026043">
        <w:rPr>
          <w:i/>
          <w:szCs w:val="24"/>
          <w:lang w:val="en-GB"/>
        </w:rPr>
        <w:t>Anothen hoi profettai</w:t>
      </w:r>
      <w:r w:rsidR="00A40748" w:rsidRPr="00026043">
        <w:rPr>
          <w:szCs w:val="24"/>
          <w:lang w:val="en-GB"/>
        </w:rPr>
        <w:t xml:space="preserve"> similar to the Athos paintings</w:t>
      </w:r>
      <w:r w:rsidRPr="00026043">
        <w:rPr>
          <w:szCs w:val="24"/>
          <w:lang w:val="en-GB"/>
        </w:rPr>
        <w:t xml:space="preserve"> in the Moldavian (called then Bucovinian) frescoes</w:t>
      </w:r>
      <w:r w:rsidR="00A40748" w:rsidRPr="00026043">
        <w:rPr>
          <w:szCs w:val="24"/>
          <w:lang w:val="en-GB"/>
        </w:rPr>
        <w:t xml:space="preserve">. He underlined that it was the old tradition to paint prophets on the walls of </w:t>
      </w:r>
      <w:r w:rsidR="00026043" w:rsidRPr="00026043">
        <w:rPr>
          <w:szCs w:val="24"/>
          <w:lang w:val="en-GB"/>
        </w:rPr>
        <w:t>narthex</w:t>
      </w:r>
      <w:r w:rsidRPr="00026043">
        <w:rPr>
          <w:szCs w:val="24"/>
          <w:lang w:val="en-GB"/>
        </w:rPr>
        <w:t>, as e.g.</w:t>
      </w:r>
      <w:r w:rsidR="00A40748" w:rsidRPr="00026043">
        <w:rPr>
          <w:szCs w:val="24"/>
          <w:lang w:val="en-GB"/>
        </w:rPr>
        <w:t xml:space="preserve"> in Humor and Moldavitsa</w:t>
      </w:r>
      <w:r w:rsidRPr="00026043">
        <w:rPr>
          <w:szCs w:val="24"/>
          <w:lang w:val="en-GB"/>
        </w:rPr>
        <w:t>,</w:t>
      </w:r>
      <w:r w:rsidR="00A40748" w:rsidRPr="00026043">
        <w:rPr>
          <w:szCs w:val="24"/>
          <w:lang w:val="en-GB"/>
        </w:rPr>
        <w:t xml:space="preserve"> and hymnographers in the pendentives of the cupola filled with the bust of Mother</w:t>
      </w:r>
      <w:r w:rsidR="008C4709" w:rsidRPr="00026043">
        <w:rPr>
          <w:szCs w:val="24"/>
          <w:lang w:val="en-GB"/>
        </w:rPr>
        <w:t xml:space="preserve"> of God in </w:t>
      </w:r>
      <w:r w:rsidRPr="00026043">
        <w:rPr>
          <w:szCs w:val="24"/>
          <w:lang w:val="en-GB"/>
        </w:rPr>
        <w:t xml:space="preserve">the </w:t>
      </w:r>
      <w:r w:rsidR="008C4709" w:rsidRPr="00026043">
        <w:rPr>
          <w:szCs w:val="24"/>
          <w:lang w:val="en-GB"/>
        </w:rPr>
        <w:t>Blacherniotissa type</w:t>
      </w:r>
      <w:r w:rsidR="00CB197D" w:rsidRPr="00026043">
        <w:rPr>
          <w:rStyle w:val="FootnoteReference"/>
          <w:szCs w:val="24"/>
          <w:lang w:val="en-GB"/>
        </w:rPr>
        <w:footnoteReference w:id="2"/>
      </w:r>
      <w:r w:rsidR="00AD5C7A" w:rsidRPr="00026043">
        <w:rPr>
          <w:szCs w:val="24"/>
          <w:lang w:val="en-GB"/>
        </w:rPr>
        <w:t xml:space="preserve">. </w:t>
      </w:r>
      <w:r w:rsidR="008C4709" w:rsidRPr="00026043">
        <w:rPr>
          <w:szCs w:val="24"/>
          <w:lang w:val="en-GB"/>
        </w:rPr>
        <w:t xml:space="preserve">This is why </w:t>
      </w:r>
      <w:r w:rsidR="00AD5C7A" w:rsidRPr="00026043">
        <w:rPr>
          <w:szCs w:val="24"/>
          <w:lang w:val="en-GB"/>
        </w:rPr>
        <w:t>Podlacha</w:t>
      </w:r>
      <w:r w:rsidR="009A494B">
        <w:rPr>
          <w:szCs w:val="24"/>
          <w:lang w:val="en-GB"/>
        </w:rPr>
        <w:t xml:space="preserve"> </w:t>
      </w:r>
      <w:r w:rsidRPr="00026043">
        <w:rPr>
          <w:szCs w:val="24"/>
          <w:lang w:val="en-GB"/>
        </w:rPr>
        <w:t xml:space="preserve">called </w:t>
      </w:r>
      <w:r w:rsidR="008C4709" w:rsidRPr="00026043">
        <w:rPr>
          <w:szCs w:val="24"/>
          <w:lang w:val="en-GB"/>
        </w:rPr>
        <w:t xml:space="preserve">this part of the temple </w:t>
      </w:r>
      <w:r w:rsidR="008C4709" w:rsidRPr="00026043">
        <w:rPr>
          <w:i/>
          <w:szCs w:val="24"/>
          <w:lang w:val="en-GB"/>
        </w:rPr>
        <w:t>The Shrine of the Mother of God</w:t>
      </w:r>
      <w:r w:rsidR="008C4709" w:rsidRPr="00026043">
        <w:rPr>
          <w:szCs w:val="24"/>
          <w:lang w:val="en-GB"/>
        </w:rPr>
        <w:t xml:space="preserve"> (pol. </w:t>
      </w:r>
      <w:r w:rsidR="008C4709" w:rsidRPr="00026043">
        <w:rPr>
          <w:i/>
          <w:szCs w:val="24"/>
          <w:lang w:val="en-GB"/>
        </w:rPr>
        <w:t>Przybytek</w:t>
      </w:r>
      <w:r w:rsidR="00C24C3A" w:rsidRPr="00026043">
        <w:rPr>
          <w:i/>
          <w:szCs w:val="24"/>
          <w:lang w:val="en-GB"/>
        </w:rPr>
        <w:t>Bogurodzicy</w:t>
      </w:r>
      <w:r w:rsidR="008C4709" w:rsidRPr="00026043">
        <w:rPr>
          <w:szCs w:val="24"/>
          <w:lang w:val="en-GB"/>
        </w:rPr>
        <w:t>)</w:t>
      </w:r>
      <w:r w:rsidR="00B05D4E" w:rsidRPr="00026043">
        <w:rPr>
          <w:szCs w:val="24"/>
          <w:lang w:val="en-GB"/>
        </w:rPr>
        <w:t xml:space="preserve">, </w:t>
      </w:r>
      <w:r w:rsidR="008C4709" w:rsidRPr="00026043">
        <w:rPr>
          <w:szCs w:val="24"/>
          <w:lang w:val="en-GB"/>
        </w:rPr>
        <w:t xml:space="preserve">and he indicated </w:t>
      </w:r>
      <w:r w:rsidR="008C4709" w:rsidRPr="00026043">
        <w:rPr>
          <w:i/>
          <w:szCs w:val="24"/>
          <w:lang w:val="en-GB"/>
        </w:rPr>
        <w:t>The Hymns of Prophets</w:t>
      </w:r>
      <w:r w:rsidR="00AD5C7A" w:rsidRPr="00026043">
        <w:rPr>
          <w:szCs w:val="24"/>
          <w:lang w:val="en-GB"/>
        </w:rPr>
        <w:t xml:space="preserve"> (gr.</w:t>
      </w:r>
      <w:r w:rsidR="00CB197D" w:rsidRPr="00026043">
        <w:rPr>
          <w:rFonts w:cs="Times New Roman"/>
          <w:i/>
          <w:szCs w:val="24"/>
          <w:lang w:val="en-GB"/>
        </w:rPr>
        <w:t>Ἄνοτθενοἱ προφετται</w:t>
      </w:r>
      <w:r w:rsidR="00CB197D" w:rsidRPr="00026043">
        <w:rPr>
          <w:szCs w:val="24"/>
          <w:lang w:val="en-GB"/>
        </w:rPr>
        <w:t xml:space="preserve">), </w:t>
      </w:r>
      <w:r w:rsidR="008C4709" w:rsidRPr="00026043">
        <w:rPr>
          <w:szCs w:val="24"/>
          <w:lang w:val="en-GB"/>
        </w:rPr>
        <w:t xml:space="preserve">described in </w:t>
      </w:r>
      <w:r w:rsidR="008C4709" w:rsidRPr="00026043">
        <w:rPr>
          <w:i/>
          <w:szCs w:val="24"/>
          <w:lang w:val="en-GB"/>
        </w:rPr>
        <w:t>Hermeneia</w:t>
      </w:r>
      <w:r w:rsidR="008C4709" w:rsidRPr="00026043">
        <w:rPr>
          <w:szCs w:val="24"/>
          <w:lang w:val="en-GB"/>
        </w:rPr>
        <w:t xml:space="preserve"> traditionally linked with Dyonisios of Fourna</w:t>
      </w:r>
      <w:r w:rsidRPr="00026043">
        <w:rPr>
          <w:szCs w:val="24"/>
          <w:lang w:val="en-GB"/>
        </w:rPr>
        <w:t xml:space="preserve"> as the literary source of the described composition</w:t>
      </w:r>
      <w:r w:rsidR="008C4709" w:rsidRPr="00026043">
        <w:rPr>
          <w:szCs w:val="24"/>
          <w:lang w:val="en-GB"/>
        </w:rPr>
        <w:t>.</w:t>
      </w:r>
    </w:p>
    <w:p w:rsidR="005D1EA5" w:rsidRPr="00026043" w:rsidRDefault="008C4709" w:rsidP="000A2C87">
      <w:pPr>
        <w:ind w:firstLine="708"/>
        <w:rPr>
          <w:szCs w:val="24"/>
          <w:lang w:val="en-GB"/>
        </w:rPr>
      </w:pPr>
      <w:r w:rsidRPr="00026043">
        <w:rPr>
          <w:szCs w:val="24"/>
          <w:lang w:val="en-GB"/>
        </w:rPr>
        <w:t>It is worth to notice that the iconographic schem</w:t>
      </w:r>
      <w:r w:rsidR="00553903" w:rsidRPr="00026043">
        <w:rPr>
          <w:szCs w:val="24"/>
          <w:lang w:val="en-GB"/>
        </w:rPr>
        <w:t xml:space="preserve">eknown from the Middle Byzantine Period </w:t>
      </w:r>
      <w:r w:rsidRPr="00026043">
        <w:rPr>
          <w:szCs w:val="24"/>
          <w:lang w:val="en-GB"/>
        </w:rPr>
        <w:t>in which the prop</w:t>
      </w:r>
      <w:r w:rsidR="00394621" w:rsidRPr="00026043">
        <w:rPr>
          <w:szCs w:val="24"/>
          <w:lang w:val="en-GB"/>
        </w:rPr>
        <w:t>hets surround the Mother of God</w:t>
      </w:r>
      <w:r w:rsidRPr="00026043">
        <w:rPr>
          <w:szCs w:val="24"/>
          <w:lang w:val="en-GB"/>
        </w:rPr>
        <w:t xml:space="preserve">, was not </w:t>
      </w:r>
      <w:r w:rsidR="00C46ED2" w:rsidRPr="00026043">
        <w:rPr>
          <w:szCs w:val="24"/>
          <w:lang w:val="en-GB"/>
        </w:rPr>
        <w:t>drawn</w:t>
      </w:r>
      <w:r w:rsidRPr="00026043">
        <w:rPr>
          <w:szCs w:val="24"/>
          <w:lang w:val="en-GB"/>
        </w:rPr>
        <w:t xml:space="preserve"> in any particular way </w:t>
      </w:r>
      <w:r w:rsidR="00C46ED2" w:rsidRPr="00026043">
        <w:rPr>
          <w:szCs w:val="24"/>
          <w:lang w:val="en-GB"/>
        </w:rPr>
        <w:t>from</w:t>
      </w:r>
      <w:r w:rsidRPr="00026043">
        <w:rPr>
          <w:szCs w:val="24"/>
          <w:lang w:val="en-GB"/>
        </w:rPr>
        <w:t xml:space="preserve"> the oldest or newer iconographic compendia, although the term </w:t>
      </w:r>
      <w:r w:rsidR="00394621" w:rsidRPr="00026043">
        <w:rPr>
          <w:szCs w:val="24"/>
          <w:lang w:val="en-GB"/>
        </w:rPr>
        <w:t>used in</w:t>
      </w:r>
      <w:r w:rsidRPr="00026043">
        <w:rPr>
          <w:i/>
          <w:szCs w:val="24"/>
          <w:lang w:val="en-GB"/>
        </w:rPr>
        <w:t>Hermeneia</w:t>
      </w:r>
      <w:r w:rsidRPr="00026043">
        <w:rPr>
          <w:szCs w:val="24"/>
          <w:lang w:val="en-GB"/>
        </w:rPr>
        <w:t xml:space="preserve"> (</w:t>
      </w:r>
      <w:r w:rsidRPr="00026043">
        <w:rPr>
          <w:i/>
          <w:szCs w:val="24"/>
          <w:lang w:val="en-GB"/>
        </w:rPr>
        <w:t>The Prophets from above</w:t>
      </w:r>
      <w:r w:rsidR="00394621" w:rsidRPr="00026043">
        <w:rPr>
          <w:szCs w:val="24"/>
          <w:lang w:val="en-GB"/>
        </w:rPr>
        <w:t xml:space="preserve">) was adapted </w:t>
      </w:r>
      <w:r w:rsidRPr="00026043">
        <w:rPr>
          <w:szCs w:val="24"/>
          <w:lang w:val="en-GB"/>
        </w:rPr>
        <w:t xml:space="preserve">in the literature, e. g. in </w:t>
      </w:r>
      <w:r w:rsidR="00C24C3A" w:rsidRPr="00026043">
        <w:rPr>
          <w:szCs w:val="24"/>
          <w:lang w:val="en-GB"/>
        </w:rPr>
        <w:t>ManuelisChatzidaki</w:t>
      </w:r>
      <w:r w:rsidRPr="00026043">
        <w:rPr>
          <w:szCs w:val="24"/>
          <w:lang w:val="en-GB"/>
        </w:rPr>
        <w:t>’</w:t>
      </w:r>
      <w:r w:rsidR="00C24C3A" w:rsidRPr="00026043">
        <w:rPr>
          <w:szCs w:val="24"/>
          <w:lang w:val="en-GB"/>
        </w:rPr>
        <w:t xml:space="preserve">s monograph </w:t>
      </w:r>
      <w:r w:rsidR="00394621" w:rsidRPr="00026043">
        <w:rPr>
          <w:szCs w:val="24"/>
          <w:lang w:val="en-GB"/>
        </w:rPr>
        <w:t>(</w:t>
      </w:r>
      <w:r w:rsidR="00C24C3A" w:rsidRPr="00026043">
        <w:rPr>
          <w:szCs w:val="24"/>
          <w:lang w:val="en-GB"/>
        </w:rPr>
        <w:t>1962</w:t>
      </w:r>
      <w:r w:rsidR="00394621" w:rsidRPr="00026043">
        <w:rPr>
          <w:szCs w:val="24"/>
          <w:lang w:val="en-GB"/>
        </w:rPr>
        <w:t>)</w:t>
      </w:r>
      <w:r w:rsidR="00C24C3A" w:rsidRPr="00026043">
        <w:rPr>
          <w:szCs w:val="24"/>
          <w:lang w:val="en-GB"/>
        </w:rPr>
        <w:t xml:space="preserve"> devoted to the Venetian icons</w:t>
      </w:r>
      <w:r w:rsidRPr="00026043">
        <w:rPr>
          <w:szCs w:val="24"/>
          <w:lang w:val="en-GB"/>
        </w:rPr>
        <w:t xml:space="preserve"> or in</w:t>
      </w:r>
      <w:r w:rsidR="00C24C3A" w:rsidRPr="00026043">
        <w:rPr>
          <w:szCs w:val="24"/>
          <w:lang w:val="en-GB"/>
        </w:rPr>
        <w:t>Sirarpie der Nersessian</w:t>
      </w:r>
      <w:r w:rsidRPr="00026043">
        <w:rPr>
          <w:szCs w:val="24"/>
          <w:lang w:val="en-GB"/>
        </w:rPr>
        <w:t>’s</w:t>
      </w:r>
      <w:r w:rsidR="00C24C3A" w:rsidRPr="00026043">
        <w:rPr>
          <w:szCs w:val="24"/>
          <w:lang w:val="en-GB"/>
        </w:rPr>
        <w:t xml:space="preserve"> study o</w:t>
      </w:r>
      <w:r w:rsidR="00394621" w:rsidRPr="00026043">
        <w:rPr>
          <w:szCs w:val="24"/>
          <w:lang w:val="en-GB"/>
        </w:rPr>
        <w:t>f frescoes of the P</w:t>
      </w:r>
      <w:r w:rsidR="00C24C3A" w:rsidRPr="00026043">
        <w:rPr>
          <w:szCs w:val="24"/>
          <w:lang w:val="en-GB"/>
        </w:rPr>
        <w:t>arreclesion of Monastery of Our Saviour</w:t>
      </w:r>
      <w:r w:rsidR="00394621" w:rsidRPr="00026043">
        <w:rPr>
          <w:szCs w:val="24"/>
          <w:lang w:val="en-GB"/>
        </w:rPr>
        <w:t>,</w:t>
      </w:r>
      <w:r w:rsidR="00C24C3A" w:rsidRPr="00026043">
        <w:rPr>
          <w:szCs w:val="24"/>
          <w:lang w:val="en-GB"/>
        </w:rPr>
        <w:t xml:space="preserve"> that is KaryeDjami in Constantinople </w:t>
      </w:r>
      <w:r w:rsidR="00394621" w:rsidRPr="00026043">
        <w:rPr>
          <w:szCs w:val="24"/>
          <w:lang w:val="en-GB"/>
        </w:rPr>
        <w:t>(</w:t>
      </w:r>
      <w:r w:rsidR="000A2C87" w:rsidRPr="00026043">
        <w:rPr>
          <w:szCs w:val="24"/>
          <w:lang w:val="en-GB"/>
        </w:rPr>
        <w:t>1</w:t>
      </w:r>
      <w:r w:rsidR="00C24C3A" w:rsidRPr="00026043">
        <w:rPr>
          <w:szCs w:val="24"/>
          <w:lang w:val="en-GB"/>
        </w:rPr>
        <w:t>975</w:t>
      </w:r>
      <w:r w:rsidR="00394621" w:rsidRPr="00026043">
        <w:rPr>
          <w:szCs w:val="24"/>
          <w:lang w:val="en-GB"/>
        </w:rPr>
        <w:t>)</w:t>
      </w:r>
      <w:r w:rsidR="00C24C3A" w:rsidRPr="00026043">
        <w:rPr>
          <w:szCs w:val="24"/>
          <w:lang w:val="en-GB"/>
        </w:rPr>
        <w:t xml:space="preserve">. </w:t>
      </w:r>
      <w:r w:rsidR="007529FA" w:rsidRPr="00026043">
        <w:rPr>
          <w:szCs w:val="24"/>
          <w:lang w:val="en-GB"/>
        </w:rPr>
        <w:t xml:space="preserve">The most </w:t>
      </w:r>
      <w:r w:rsidR="00C46ED2" w:rsidRPr="00026043">
        <w:rPr>
          <w:szCs w:val="24"/>
          <w:lang w:val="en-GB"/>
        </w:rPr>
        <w:t>comprehensive</w:t>
      </w:r>
      <w:r w:rsidR="007529FA" w:rsidRPr="00026043">
        <w:rPr>
          <w:szCs w:val="24"/>
          <w:lang w:val="en-GB"/>
        </w:rPr>
        <w:t xml:space="preserve"> study devoted to this subject was published by Doula Mouriki in 1</w:t>
      </w:r>
      <w:r w:rsidR="00394621" w:rsidRPr="00026043">
        <w:rPr>
          <w:szCs w:val="24"/>
          <w:lang w:val="en-GB"/>
        </w:rPr>
        <w:t>971 in the context of the late P</w:t>
      </w:r>
      <w:r w:rsidR="007529FA" w:rsidRPr="00026043">
        <w:rPr>
          <w:szCs w:val="24"/>
          <w:lang w:val="en-GB"/>
        </w:rPr>
        <w:t>aleologian paintin</w:t>
      </w:r>
      <w:r w:rsidR="00CC7B89" w:rsidRPr="00026043">
        <w:rPr>
          <w:szCs w:val="24"/>
          <w:lang w:val="en-GB"/>
        </w:rPr>
        <w:t xml:space="preserve">gs in Peribleptos in Mistra. In her study </w:t>
      </w:r>
      <w:r w:rsidR="00C46ED2" w:rsidRPr="00026043">
        <w:rPr>
          <w:szCs w:val="24"/>
          <w:lang w:val="en-GB"/>
        </w:rPr>
        <w:t xml:space="preserve">she </w:t>
      </w:r>
      <w:r w:rsidR="00CC7B89" w:rsidRPr="00026043">
        <w:rPr>
          <w:szCs w:val="24"/>
          <w:lang w:val="en-GB"/>
        </w:rPr>
        <w:t>joined</w:t>
      </w:r>
      <w:r w:rsidR="007529FA" w:rsidRPr="00026043">
        <w:rPr>
          <w:szCs w:val="24"/>
          <w:lang w:val="en-GB"/>
        </w:rPr>
        <w:t xml:space="preserve"> – to some degree – the conception</w:t>
      </w:r>
      <w:r w:rsidR="00C46ED2" w:rsidRPr="00026043">
        <w:rPr>
          <w:szCs w:val="24"/>
          <w:lang w:val="en-GB"/>
        </w:rPr>
        <w:t>s</w:t>
      </w:r>
      <w:r w:rsidR="007529FA" w:rsidRPr="00026043">
        <w:rPr>
          <w:szCs w:val="24"/>
          <w:lang w:val="en-GB"/>
        </w:rPr>
        <w:t xml:space="preserve"> of the origin of this subject seen in the Dionisious</w:t>
      </w:r>
      <w:r w:rsidR="007529FA" w:rsidRPr="00026043">
        <w:rPr>
          <w:i/>
          <w:szCs w:val="24"/>
          <w:lang w:val="en-GB"/>
        </w:rPr>
        <w:t>Manual</w:t>
      </w:r>
      <w:r w:rsidR="007529FA" w:rsidRPr="00026043">
        <w:rPr>
          <w:szCs w:val="24"/>
          <w:lang w:val="en-GB"/>
        </w:rPr>
        <w:t xml:space="preserve"> and in the homiletic and hymnographic tradition of the Eastern Church. She indicated that the </w:t>
      </w:r>
      <w:r w:rsidR="007529FA" w:rsidRPr="00026043">
        <w:rPr>
          <w:i/>
          <w:szCs w:val="24"/>
          <w:lang w:val="en-GB"/>
        </w:rPr>
        <w:t>TroparionAnothen hoi profettai</w:t>
      </w:r>
      <w:r w:rsidR="007529FA" w:rsidRPr="00026043">
        <w:rPr>
          <w:szCs w:val="24"/>
          <w:lang w:val="en-GB"/>
        </w:rPr>
        <w:t xml:space="preserve"> (</w:t>
      </w:r>
      <w:r w:rsidR="007529FA" w:rsidRPr="00026043">
        <w:rPr>
          <w:i/>
          <w:szCs w:val="24"/>
          <w:lang w:val="en-GB"/>
        </w:rPr>
        <w:t>Ἄνοτθενοἱ προφετται</w:t>
      </w:r>
      <w:r w:rsidR="007529FA" w:rsidRPr="00026043">
        <w:rPr>
          <w:szCs w:val="24"/>
          <w:lang w:val="en-GB"/>
        </w:rPr>
        <w:t>) was not only the name of the subject in</w:t>
      </w:r>
      <w:r w:rsidR="00CC7B89" w:rsidRPr="00026043">
        <w:rPr>
          <w:i/>
          <w:szCs w:val="24"/>
          <w:lang w:val="en-GB"/>
        </w:rPr>
        <w:t>The</w:t>
      </w:r>
      <w:r w:rsidR="007529FA" w:rsidRPr="00026043">
        <w:rPr>
          <w:i/>
          <w:szCs w:val="24"/>
          <w:lang w:val="en-GB"/>
        </w:rPr>
        <w:t xml:space="preserve"> Painters’ Manual</w:t>
      </w:r>
      <w:r w:rsidR="007529FA" w:rsidRPr="00026043">
        <w:rPr>
          <w:szCs w:val="24"/>
          <w:lang w:val="en-GB"/>
        </w:rPr>
        <w:t xml:space="preserve"> but it was </w:t>
      </w:r>
      <w:r w:rsidR="00C46ED2" w:rsidRPr="00026043">
        <w:rPr>
          <w:szCs w:val="24"/>
          <w:lang w:val="en-GB"/>
        </w:rPr>
        <w:t xml:space="preserve">an </w:t>
      </w:r>
      <w:r w:rsidR="007529FA" w:rsidRPr="00026043">
        <w:rPr>
          <w:szCs w:val="24"/>
          <w:lang w:val="en-GB"/>
        </w:rPr>
        <w:t xml:space="preserve">old liturgical Hymn as </w:t>
      </w:r>
      <w:r w:rsidR="00CC7B89" w:rsidRPr="00026043">
        <w:rPr>
          <w:szCs w:val="24"/>
          <w:lang w:val="en-GB"/>
        </w:rPr>
        <w:t>well,</w:t>
      </w:r>
      <w:r w:rsidR="00394621" w:rsidRPr="00026043">
        <w:rPr>
          <w:szCs w:val="24"/>
          <w:lang w:val="en-GB"/>
        </w:rPr>
        <w:t xml:space="preserve"> preserved</w:t>
      </w:r>
      <w:r w:rsidR="00CC7B89" w:rsidRPr="00026043">
        <w:rPr>
          <w:szCs w:val="24"/>
          <w:lang w:val="en-GB"/>
        </w:rPr>
        <w:t xml:space="preserve"> already </w:t>
      </w:r>
      <w:r w:rsidR="00394621" w:rsidRPr="00026043">
        <w:rPr>
          <w:szCs w:val="24"/>
          <w:lang w:val="en-GB"/>
        </w:rPr>
        <w:t xml:space="preserve">in </w:t>
      </w:r>
      <w:r w:rsidR="00CC7B89" w:rsidRPr="00026043">
        <w:rPr>
          <w:szCs w:val="24"/>
          <w:lang w:val="en-GB"/>
        </w:rPr>
        <w:t xml:space="preserve">the </w:t>
      </w:r>
      <w:r w:rsidR="00CC7B89" w:rsidRPr="00026043">
        <w:rPr>
          <w:i/>
          <w:szCs w:val="24"/>
          <w:lang w:val="en-GB"/>
        </w:rPr>
        <w:t>Triodion</w:t>
      </w:r>
      <w:r w:rsidR="00CC7B89" w:rsidRPr="00026043">
        <w:rPr>
          <w:szCs w:val="24"/>
          <w:lang w:val="en-GB"/>
        </w:rPr>
        <w:t xml:space="preserve">of the </w:t>
      </w:r>
      <w:r w:rsidR="00026043" w:rsidRPr="00026043">
        <w:rPr>
          <w:szCs w:val="24"/>
          <w:lang w:val="en-GB"/>
        </w:rPr>
        <w:t>Sinai</w:t>
      </w:r>
      <w:r w:rsidR="00CC7B89" w:rsidRPr="00026043">
        <w:rPr>
          <w:szCs w:val="24"/>
          <w:lang w:val="en-GB"/>
        </w:rPr>
        <w:t xml:space="preserve"> Monastery of the 11</w:t>
      </w:r>
      <w:r w:rsidR="00CC7B89" w:rsidRPr="00026043">
        <w:rPr>
          <w:szCs w:val="24"/>
          <w:vertAlign w:val="superscript"/>
          <w:lang w:val="en-GB"/>
        </w:rPr>
        <w:t>th</w:t>
      </w:r>
      <w:r w:rsidR="00CC7B89" w:rsidRPr="00026043">
        <w:rPr>
          <w:szCs w:val="24"/>
          <w:lang w:val="en-GB"/>
        </w:rPr>
        <w:t xml:space="preserve"> c. (</w:t>
      </w:r>
      <w:r w:rsidR="00CC7B89" w:rsidRPr="00026043">
        <w:rPr>
          <w:i/>
          <w:szCs w:val="24"/>
          <w:lang w:val="en-GB"/>
        </w:rPr>
        <w:t>Sinait, gr. 736</w:t>
      </w:r>
      <w:r w:rsidR="00CC7B89" w:rsidRPr="00026043">
        <w:rPr>
          <w:szCs w:val="24"/>
          <w:lang w:val="en-GB"/>
        </w:rPr>
        <w:t>, fol. 71).</w:t>
      </w:r>
      <w:r w:rsidR="005109A0" w:rsidRPr="00026043">
        <w:rPr>
          <w:szCs w:val="24"/>
          <w:lang w:val="en-GB"/>
        </w:rPr>
        <w:t xml:space="preserve"> Her conclusions were repeated by Serbian scholars GiordanaBabić and LubicaPopović in the </w:t>
      </w:r>
      <w:r w:rsidR="00C46ED2" w:rsidRPr="00026043">
        <w:rPr>
          <w:szCs w:val="24"/>
          <w:lang w:val="en-GB"/>
        </w:rPr>
        <w:t>19</w:t>
      </w:r>
      <w:r w:rsidR="005109A0" w:rsidRPr="00026043">
        <w:rPr>
          <w:szCs w:val="24"/>
          <w:lang w:val="en-GB"/>
        </w:rPr>
        <w:t>80s in the case of Serbian murals in Studenica and in Peć (14</w:t>
      </w:r>
      <w:r w:rsidR="005109A0" w:rsidRPr="00026043">
        <w:rPr>
          <w:szCs w:val="24"/>
          <w:vertAlign w:val="superscript"/>
          <w:lang w:val="en-GB"/>
        </w:rPr>
        <w:t>th</w:t>
      </w:r>
      <w:r w:rsidR="005109A0" w:rsidRPr="00026043">
        <w:rPr>
          <w:szCs w:val="24"/>
          <w:lang w:val="en-GB"/>
        </w:rPr>
        <w:t xml:space="preserve"> c.). In Serbian this subject was described as </w:t>
      </w:r>
      <w:r w:rsidR="005109A0" w:rsidRPr="00026043">
        <w:rPr>
          <w:i/>
          <w:szCs w:val="24"/>
          <w:lang w:val="en-GB"/>
        </w:rPr>
        <w:t>The Prophets have Thee announced</w:t>
      </w:r>
      <w:r w:rsidR="005109A0" w:rsidRPr="00026043">
        <w:rPr>
          <w:szCs w:val="24"/>
          <w:lang w:val="en-GB"/>
        </w:rPr>
        <w:t xml:space="preserve"> (</w:t>
      </w:r>
      <w:r w:rsidR="00026043" w:rsidRPr="00026043">
        <w:rPr>
          <w:szCs w:val="24"/>
          <w:lang w:val="en-GB"/>
        </w:rPr>
        <w:t>Serb</w:t>
      </w:r>
      <w:r w:rsidR="005109A0" w:rsidRPr="00026043">
        <w:rPr>
          <w:szCs w:val="24"/>
          <w:lang w:val="en-GB"/>
        </w:rPr>
        <w:t xml:space="preserve">. </w:t>
      </w:r>
      <w:r w:rsidR="003B35AE" w:rsidRPr="00026043">
        <w:rPr>
          <w:rFonts w:cs="Times New Roman"/>
          <w:i/>
          <w:szCs w:val="24"/>
          <w:lang w:val="en-GB"/>
        </w:rPr>
        <w:t>Прорцисуɯенаговесɯили</w:t>
      </w:r>
      <w:r w:rsidR="003B35AE" w:rsidRPr="00026043">
        <w:rPr>
          <w:rFonts w:cs="Times New Roman"/>
          <w:szCs w:val="24"/>
          <w:lang w:val="en-GB"/>
        </w:rPr>
        <w:t>,gr.</w:t>
      </w:r>
      <w:r w:rsidR="003B35AE" w:rsidRPr="00026043">
        <w:rPr>
          <w:rFonts w:cs="Times New Roman"/>
          <w:i/>
          <w:szCs w:val="24"/>
          <w:lang w:val="en-GB"/>
        </w:rPr>
        <w:t>Ἄνοτθενοἱ προφετται</w:t>
      </w:r>
      <w:r w:rsidR="005109A0" w:rsidRPr="00026043">
        <w:rPr>
          <w:szCs w:val="24"/>
          <w:lang w:val="en-GB"/>
        </w:rPr>
        <w:t xml:space="preserve">). </w:t>
      </w:r>
    </w:p>
    <w:p w:rsidR="00AD5C7A" w:rsidRPr="00026043" w:rsidRDefault="005109A0" w:rsidP="000A2C87">
      <w:pPr>
        <w:ind w:firstLine="708"/>
        <w:rPr>
          <w:szCs w:val="24"/>
          <w:lang w:val="en-GB"/>
        </w:rPr>
      </w:pPr>
      <w:r w:rsidRPr="00026043">
        <w:rPr>
          <w:szCs w:val="24"/>
          <w:lang w:val="en-GB"/>
        </w:rPr>
        <w:t>Popović after Mouriki</w:t>
      </w:r>
      <w:r w:rsidR="005D1EA5" w:rsidRPr="00026043">
        <w:rPr>
          <w:szCs w:val="24"/>
          <w:lang w:val="en-GB"/>
        </w:rPr>
        <w:t>admitted</w:t>
      </w:r>
      <w:r w:rsidRPr="00026043">
        <w:rPr>
          <w:szCs w:val="24"/>
          <w:lang w:val="en-GB"/>
        </w:rPr>
        <w:t xml:space="preserve"> that one of the oldest illustrations of prophets with </w:t>
      </w:r>
      <w:r w:rsidR="00026043">
        <w:rPr>
          <w:szCs w:val="24"/>
          <w:lang w:val="en-GB"/>
        </w:rPr>
        <w:t>M</w:t>
      </w:r>
      <w:r w:rsidR="00026043" w:rsidRPr="00026043">
        <w:rPr>
          <w:szCs w:val="24"/>
          <w:lang w:val="en-GB"/>
        </w:rPr>
        <w:t>ariological</w:t>
      </w:r>
      <w:r w:rsidRPr="00026043">
        <w:rPr>
          <w:szCs w:val="24"/>
          <w:lang w:val="en-GB"/>
        </w:rPr>
        <w:t xml:space="preserve"> symbols are known from the miniatures of </w:t>
      </w:r>
      <w:r w:rsidR="00C46ED2" w:rsidRPr="00026043">
        <w:rPr>
          <w:i/>
          <w:szCs w:val="24"/>
          <w:lang w:val="en-GB"/>
        </w:rPr>
        <w:t xml:space="preserve">The </w:t>
      </w:r>
      <w:r w:rsidRPr="00026043">
        <w:rPr>
          <w:i/>
          <w:szCs w:val="24"/>
          <w:lang w:val="en-GB"/>
        </w:rPr>
        <w:t>Sermons</w:t>
      </w:r>
      <w:r w:rsidRPr="00026043">
        <w:rPr>
          <w:szCs w:val="24"/>
          <w:lang w:val="en-GB"/>
        </w:rPr>
        <w:t xml:space="preserve"> of Jacob Kokkinobaphos and </w:t>
      </w:r>
      <w:r w:rsidR="00C46ED2" w:rsidRPr="00026043">
        <w:rPr>
          <w:i/>
          <w:szCs w:val="24"/>
          <w:lang w:val="en-GB"/>
        </w:rPr>
        <w:t xml:space="preserve">The Christian </w:t>
      </w:r>
      <w:r w:rsidRPr="00026043">
        <w:rPr>
          <w:i/>
          <w:szCs w:val="24"/>
          <w:lang w:val="en-GB"/>
        </w:rPr>
        <w:t>Topography</w:t>
      </w:r>
      <w:r w:rsidRPr="00026043">
        <w:rPr>
          <w:szCs w:val="24"/>
          <w:lang w:val="en-GB"/>
        </w:rPr>
        <w:t xml:space="preserve"> of Kosmas Indikopleustes</w:t>
      </w:r>
      <w:r w:rsidR="005D1EA5" w:rsidRPr="00026043">
        <w:rPr>
          <w:szCs w:val="24"/>
          <w:lang w:val="en-GB"/>
        </w:rPr>
        <w:t xml:space="preserve">. They also </w:t>
      </w:r>
      <w:r w:rsidR="00C46ED2" w:rsidRPr="00026043">
        <w:rPr>
          <w:szCs w:val="24"/>
          <w:lang w:val="en-GB"/>
        </w:rPr>
        <w:t>emphasise</w:t>
      </w:r>
      <w:r w:rsidR="0019237E">
        <w:rPr>
          <w:szCs w:val="24"/>
          <w:lang w:val="en-GB"/>
        </w:rPr>
        <w:t>d</w:t>
      </w:r>
      <w:r w:rsidRPr="00026043">
        <w:rPr>
          <w:szCs w:val="24"/>
          <w:lang w:val="en-GB"/>
        </w:rPr>
        <w:t xml:space="preserve"> that the description in </w:t>
      </w:r>
      <w:r w:rsidRPr="00026043">
        <w:rPr>
          <w:i/>
          <w:szCs w:val="24"/>
          <w:lang w:val="en-GB"/>
        </w:rPr>
        <w:t>Hermeneia</w:t>
      </w:r>
      <w:r w:rsidRPr="00026043">
        <w:rPr>
          <w:szCs w:val="24"/>
          <w:lang w:val="en-GB"/>
        </w:rPr>
        <w:t xml:space="preserve"> is much younger than any monuments to which it </w:t>
      </w:r>
      <w:r w:rsidR="00C46ED2" w:rsidRPr="00026043">
        <w:rPr>
          <w:szCs w:val="24"/>
          <w:lang w:val="en-GB"/>
        </w:rPr>
        <w:t>refers</w:t>
      </w:r>
      <w:r w:rsidRPr="00026043">
        <w:rPr>
          <w:szCs w:val="24"/>
          <w:lang w:val="en-GB"/>
        </w:rPr>
        <w:t>. Finally</w:t>
      </w:r>
      <w:r w:rsidR="00C46ED2" w:rsidRPr="00026043">
        <w:rPr>
          <w:szCs w:val="24"/>
          <w:lang w:val="en-GB"/>
        </w:rPr>
        <w:t>,</w:t>
      </w:r>
      <w:r w:rsidRPr="00026043">
        <w:rPr>
          <w:szCs w:val="24"/>
          <w:lang w:val="en-GB"/>
        </w:rPr>
        <w:t xml:space="preserve"> one of the latest studies devoted to this </w:t>
      </w:r>
      <w:r w:rsidR="00C46ED2" w:rsidRPr="00026043">
        <w:rPr>
          <w:szCs w:val="24"/>
          <w:lang w:val="en-GB"/>
        </w:rPr>
        <w:t>subject</w:t>
      </w:r>
      <w:r w:rsidRPr="00026043">
        <w:rPr>
          <w:szCs w:val="24"/>
          <w:lang w:val="en-GB"/>
        </w:rPr>
        <w:t xml:space="preserve"> w</w:t>
      </w:r>
      <w:r w:rsidR="00C46ED2" w:rsidRPr="00026043">
        <w:rPr>
          <w:szCs w:val="24"/>
          <w:lang w:val="en-GB"/>
        </w:rPr>
        <w:t>ere</w:t>
      </w:r>
      <w:r w:rsidRPr="00026043">
        <w:rPr>
          <w:szCs w:val="24"/>
          <w:lang w:val="en-GB"/>
        </w:rPr>
        <w:t xml:space="preserve"> the articles of Olga Etingoff</w:t>
      </w:r>
      <w:r w:rsidR="005D1EA5" w:rsidRPr="00026043">
        <w:rPr>
          <w:szCs w:val="24"/>
          <w:lang w:val="en-GB"/>
        </w:rPr>
        <w:t>(</w:t>
      </w:r>
      <w:r w:rsidRPr="00026043">
        <w:rPr>
          <w:szCs w:val="24"/>
          <w:lang w:val="en-GB"/>
        </w:rPr>
        <w:t>2000</w:t>
      </w:r>
      <w:r w:rsidR="005D1EA5" w:rsidRPr="00026043">
        <w:rPr>
          <w:szCs w:val="24"/>
          <w:lang w:val="en-GB"/>
        </w:rPr>
        <w:t>)</w:t>
      </w:r>
      <w:r w:rsidRPr="00026043">
        <w:rPr>
          <w:szCs w:val="24"/>
          <w:lang w:val="en-GB"/>
        </w:rPr>
        <w:t>. She noticed that the troparion</w:t>
      </w:r>
      <w:r w:rsidRPr="00026043">
        <w:rPr>
          <w:i/>
          <w:szCs w:val="24"/>
          <w:lang w:val="en-GB"/>
        </w:rPr>
        <w:t>Anothen hoi Profettai</w:t>
      </w:r>
      <w:r w:rsidRPr="00026043">
        <w:rPr>
          <w:szCs w:val="24"/>
          <w:lang w:val="en-GB"/>
        </w:rPr>
        <w:t xml:space="preserve">preserved in the </w:t>
      </w:r>
      <w:r w:rsidR="0019237E">
        <w:rPr>
          <w:szCs w:val="24"/>
          <w:lang w:val="en-GB"/>
        </w:rPr>
        <w:t xml:space="preserve">Sinai </w:t>
      </w:r>
      <w:r w:rsidRPr="00026043">
        <w:rPr>
          <w:i/>
          <w:szCs w:val="24"/>
          <w:lang w:val="en-GB"/>
        </w:rPr>
        <w:t>Triodion</w:t>
      </w:r>
      <w:r w:rsidR="0019237E">
        <w:rPr>
          <w:szCs w:val="24"/>
          <w:lang w:val="en-GB"/>
        </w:rPr>
        <w:t xml:space="preserve">is </w:t>
      </w:r>
      <w:r w:rsidRPr="00026043">
        <w:rPr>
          <w:szCs w:val="24"/>
          <w:lang w:val="en-GB"/>
        </w:rPr>
        <w:t xml:space="preserve">included in the </w:t>
      </w:r>
      <w:r w:rsidRPr="00026043">
        <w:rPr>
          <w:i/>
          <w:szCs w:val="24"/>
          <w:lang w:val="en-GB"/>
        </w:rPr>
        <w:t>Canon of Prophets</w:t>
      </w:r>
      <w:r w:rsidRPr="00026043">
        <w:rPr>
          <w:szCs w:val="24"/>
          <w:lang w:val="en-GB"/>
        </w:rPr>
        <w:t xml:space="preserve"> read during the first Sunday of the Lent attributed to Patriarch </w:t>
      </w:r>
      <w:r w:rsidR="00A913D2" w:rsidRPr="00026043">
        <w:rPr>
          <w:szCs w:val="24"/>
          <w:lang w:val="en-GB"/>
        </w:rPr>
        <w:t xml:space="preserve">Germanus I </w:t>
      </w:r>
      <w:r w:rsidRPr="00026043">
        <w:rPr>
          <w:szCs w:val="24"/>
          <w:lang w:val="en-GB"/>
        </w:rPr>
        <w:t xml:space="preserve">of Constantinople. Etingoff indicated that the sense of </w:t>
      </w:r>
      <w:r w:rsidR="00026043" w:rsidRPr="00026043">
        <w:rPr>
          <w:szCs w:val="24"/>
          <w:lang w:val="en-GB"/>
        </w:rPr>
        <w:lastRenderedPageBreak/>
        <w:t>Mariological</w:t>
      </w:r>
      <w:r w:rsidRPr="00026043">
        <w:rPr>
          <w:szCs w:val="24"/>
          <w:lang w:val="en-GB"/>
        </w:rPr>
        <w:t xml:space="preserve"> symbols was linked with the arguments of the iconodules and the heritage of the </w:t>
      </w:r>
      <w:r w:rsidR="00A913D2" w:rsidRPr="00026043">
        <w:rPr>
          <w:szCs w:val="24"/>
          <w:lang w:val="en-GB"/>
        </w:rPr>
        <w:t>B</w:t>
      </w:r>
      <w:r w:rsidRPr="00026043">
        <w:rPr>
          <w:szCs w:val="24"/>
          <w:lang w:val="en-GB"/>
        </w:rPr>
        <w:t xml:space="preserve">yzantine poetry focused on the veneration of </w:t>
      </w:r>
      <w:r w:rsidR="00A913D2" w:rsidRPr="00026043">
        <w:rPr>
          <w:szCs w:val="24"/>
          <w:lang w:val="en-GB"/>
        </w:rPr>
        <w:t xml:space="preserve">Virgin </w:t>
      </w:r>
      <w:r w:rsidR="0019237E">
        <w:rPr>
          <w:szCs w:val="24"/>
          <w:lang w:val="en-GB"/>
        </w:rPr>
        <w:t>Mary and the i</w:t>
      </w:r>
      <w:r w:rsidRPr="00026043">
        <w:rPr>
          <w:szCs w:val="24"/>
          <w:lang w:val="en-GB"/>
        </w:rPr>
        <w:t>cons</w:t>
      </w:r>
      <w:r w:rsidR="00A913D2" w:rsidRPr="00026043">
        <w:rPr>
          <w:szCs w:val="24"/>
          <w:lang w:val="en-GB"/>
        </w:rPr>
        <w:t>.</w:t>
      </w:r>
    </w:p>
    <w:p w:rsidR="000A2C87" w:rsidRPr="00026043" w:rsidRDefault="00A913D2" w:rsidP="000A2C87">
      <w:pPr>
        <w:ind w:firstLine="708"/>
        <w:rPr>
          <w:szCs w:val="24"/>
          <w:lang w:val="en-GB"/>
        </w:rPr>
      </w:pPr>
      <w:r w:rsidRPr="00026043">
        <w:rPr>
          <w:szCs w:val="24"/>
          <w:lang w:val="en-GB"/>
        </w:rPr>
        <w:t>I</w:t>
      </w:r>
      <w:r w:rsidR="005D1EA5" w:rsidRPr="00026043">
        <w:rPr>
          <w:szCs w:val="24"/>
          <w:lang w:val="en-GB"/>
        </w:rPr>
        <w:t>n the meantime</w:t>
      </w:r>
      <w:r w:rsidRPr="00026043">
        <w:rPr>
          <w:szCs w:val="24"/>
          <w:lang w:val="en-GB"/>
        </w:rPr>
        <w:t xml:space="preserve">other </w:t>
      </w:r>
      <w:r w:rsidR="00026043" w:rsidRPr="00026043">
        <w:rPr>
          <w:szCs w:val="24"/>
          <w:lang w:val="en-GB"/>
        </w:rPr>
        <w:t>authors expressed</w:t>
      </w:r>
      <w:r w:rsidRPr="00026043">
        <w:rPr>
          <w:szCs w:val="24"/>
          <w:lang w:val="en-GB"/>
        </w:rPr>
        <w:t xml:space="preserve"> alittle different opinions, including e.g. Eugeniusz Iwanoyko (1956) </w:t>
      </w:r>
      <w:r w:rsidR="005109A0" w:rsidRPr="00026043">
        <w:rPr>
          <w:szCs w:val="24"/>
          <w:lang w:val="en-GB"/>
        </w:rPr>
        <w:t xml:space="preserve">who </w:t>
      </w:r>
      <w:r w:rsidRPr="00026043">
        <w:rPr>
          <w:szCs w:val="24"/>
          <w:lang w:val="en-GB"/>
        </w:rPr>
        <w:t>believed</w:t>
      </w:r>
      <w:r w:rsidR="000A2C87" w:rsidRPr="00026043">
        <w:rPr>
          <w:szCs w:val="24"/>
          <w:lang w:val="en-GB"/>
        </w:rPr>
        <w:t xml:space="preserve"> that the source of the depiction </w:t>
      </w:r>
      <w:r w:rsidR="00394621" w:rsidRPr="00026043">
        <w:rPr>
          <w:szCs w:val="24"/>
          <w:lang w:val="en-GB"/>
        </w:rPr>
        <w:t xml:space="preserve">was </w:t>
      </w:r>
      <w:r w:rsidR="00394621" w:rsidRPr="00026043">
        <w:rPr>
          <w:i/>
          <w:szCs w:val="24"/>
          <w:lang w:val="en-GB"/>
        </w:rPr>
        <w:t>T</w:t>
      </w:r>
      <w:r w:rsidR="000A2C87" w:rsidRPr="00026043">
        <w:rPr>
          <w:i/>
          <w:szCs w:val="24"/>
          <w:lang w:val="en-GB"/>
        </w:rPr>
        <w:t>heAkathistos Hymn</w:t>
      </w:r>
      <w:r w:rsidR="000A2C87" w:rsidRPr="00026043">
        <w:rPr>
          <w:szCs w:val="24"/>
          <w:lang w:val="en-GB"/>
        </w:rPr>
        <w:t xml:space="preserve">, the most venerable hymn of the Eastern Church, while Josef Myslivec (1969) </w:t>
      </w:r>
      <w:r w:rsidRPr="00026043">
        <w:rPr>
          <w:szCs w:val="24"/>
          <w:lang w:val="en-GB"/>
        </w:rPr>
        <w:t>emphasized</w:t>
      </w:r>
      <w:r w:rsidR="000A2C87" w:rsidRPr="00026043">
        <w:rPr>
          <w:szCs w:val="24"/>
          <w:lang w:val="en-GB"/>
        </w:rPr>
        <w:t xml:space="preserve"> the meaning of the sermons of the Fathers of the Church in</w:t>
      </w:r>
      <w:r w:rsidR="00394621" w:rsidRPr="00026043">
        <w:rPr>
          <w:szCs w:val="24"/>
          <w:lang w:val="en-GB"/>
        </w:rPr>
        <w:t xml:space="preserve"> his study of the Slovak i</w:t>
      </w:r>
      <w:r w:rsidR="000A2C87" w:rsidRPr="00026043">
        <w:rPr>
          <w:szCs w:val="24"/>
          <w:lang w:val="en-GB"/>
        </w:rPr>
        <w:t xml:space="preserve">cons. </w:t>
      </w:r>
      <w:r w:rsidR="005109A0" w:rsidRPr="00026043">
        <w:rPr>
          <w:rFonts w:cs="Times New Roman"/>
          <w:szCs w:val="24"/>
          <w:lang w:val="en-GB"/>
        </w:rPr>
        <w:t>В</w:t>
      </w:r>
      <w:r w:rsidR="005109A0" w:rsidRPr="00026043">
        <w:rPr>
          <w:szCs w:val="24"/>
          <w:lang w:val="en-GB"/>
        </w:rPr>
        <w:t>i</w:t>
      </w:r>
      <w:r w:rsidR="005109A0" w:rsidRPr="00026043">
        <w:rPr>
          <w:rFonts w:cs="Times New Roman"/>
          <w:szCs w:val="24"/>
          <w:lang w:val="en-GB"/>
        </w:rPr>
        <w:t>раСвєнц</w:t>
      </w:r>
      <w:r w:rsidR="005109A0" w:rsidRPr="00026043">
        <w:rPr>
          <w:szCs w:val="24"/>
          <w:lang w:val="en-GB"/>
        </w:rPr>
        <w:t>i</w:t>
      </w:r>
      <w:r w:rsidR="005109A0" w:rsidRPr="00026043">
        <w:rPr>
          <w:rFonts w:cs="Times New Roman"/>
          <w:szCs w:val="24"/>
          <w:lang w:val="en-GB"/>
        </w:rPr>
        <w:t>цька</w:t>
      </w:r>
      <w:r w:rsidR="000A2C87" w:rsidRPr="00026043">
        <w:rPr>
          <w:szCs w:val="24"/>
          <w:lang w:val="en-GB"/>
        </w:rPr>
        <w:t xml:space="preserve"> (1983) and RomualdBiskupski (1985) shortly </w:t>
      </w:r>
      <w:r w:rsidRPr="00026043">
        <w:rPr>
          <w:szCs w:val="24"/>
          <w:lang w:val="en-GB"/>
        </w:rPr>
        <w:t>argued</w:t>
      </w:r>
      <w:r w:rsidR="000A2C87" w:rsidRPr="00026043">
        <w:rPr>
          <w:szCs w:val="24"/>
          <w:lang w:val="en-GB"/>
        </w:rPr>
        <w:t xml:space="preserve"> that the icons in this type should be underst</w:t>
      </w:r>
      <w:r w:rsidRPr="00026043">
        <w:rPr>
          <w:szCs w:val="24"/>
          <w:lang w:val="en-GB"/>
        </w:rPr>
        <w:t>oo</w:t>
      </w:r>
      <w:r w:rsidR="000A2C87" w:rsidRPr="00026043">
        <w:rPr>
          <w:szCs w:val="24"/>
          <w:lang w:val="en-GB"/>
        </w:rPr>
        <w:t xml:space="preserve">d as the apotheosis of the Mother of God. </w:t>
      </w:r>
    </w:p>
    <w:p w:rsidR="00AD5C7A" w:rsidRPr="00026043" w:rsidRDefault="005D1EA5" w:rsidP="000A2C87">
      <w:pPr>
        <w:ind w:firstLine="708"/>
        <w:rPr>
          <w:szCs w:val="24"/>
          <w:lang w:val="en-GB"/>
        </w:rPr>
      </w:pPr>
      <w:r w:rsidRPr="00026043">
        <w:rPr>
          <w:szCs w:val="24"/>
          <w:lang w:val="en-GB"/>
        </w:rPr>
        <w:t>In my opinion</w:t>
      </w:r>
      <w:r w:rsidR="009E4B7E" w:rsidRPr="00026043">
        <w:rPr>
          <w:szCs w:val="24"/>
          <w:lang w:val="en-GB"/>
        </w:rPr>
        <w:t xml:space="preserve"> (Kruk 2000; 2004; 2007; 2009)</w:t>
      </w:r>
      <w:r w:rsidR="007529FA" w:rsidRPr="00026043">
        <w:rPr>
          <w:szCs w:val="24"/>
          <w:lang w:val="en-GB"/>
        </w:rPr>
        <w:t xml:space="preserve">, </w:t>
      </w:r>
      <w:r w:rsidRPr="00026043">
        <w:rPr>
          <w:szCs w:val="24"/>
          <w:lang w:val="en-GB"/>
        </w:rPr>
        <w:t xml:space="preserve">apart from the righteous indication of the great meaning of the </w:t>
      </w:r>
      <w:r w:rsidRPr="00026043">
        <w:rPr>
          <w:i/>
          <w:szCs w:val="24"/>
          <w:lang w:val="en-GB"/>
        </w:rPr>
        <w:t>Troparion</w:t>
      </w:r>
      <w:r w:rsidR="00026043" w:rsidRPr="00026043">
        <w:rPr>
          <w:szCs w:val="24"/>
          <w:lang w:val="en-GB"/>
        </w:rPr>
        <w:t>attributed</w:t>
      </w:r>
      <w:r w:rsidRPr="00026043">
        <w:rPr>
          <w:szCs w:val="24"/>
          <w:lang w:val="en-GB"/>
        </w:rPr>
        <w:t xml:space="preserve"> to Jakob</w:t>
      </w:r>
      <w:r w:rsidR="000C1FB3" w:rsidRPr="00026043">
        <w:rPr>
          <w:lang w:val="en-GB"/>
        </w:rPr>
        <w:t>Koukozeles</w:t>
      </w:r>
      <w:r w:rsidRPr="00026043">
        <w:rPr>
          <w:lang w:val="en-GB"/>
        </w:rPr>
        <w:t xml:space="preserve"> of the Great Lavra on Mount Athos or John K</w:t>
      </w:r>
      <w:r w:rsidR="00B26D51" w:rsidRPr="00026043">
        <w:rPr>
          <w:lang w:val="en-GB"/>
        </w:rPr>
        <w:t>l</w:t>
      </w:r>
      <w:r w:rsidRPr="00026043">
        <w:rPr>
          <w:lang w:val="en-GB"/>
        </w:rPr>
        <w:t>adas of the Hagia Sophia in Constantinople (</w:t>
      </w:r>
      <w:r w:rsidR="007529FA" w:rsidRPr="00026043">
        <w:rPr>
          <w:rFonts w:cs="Times New Roman"/>
          <w:lang w:val="en-GB"/>
        </w:rPr>
        <w:t>Милановић</w:t>
      </w:r>
      <w:r w:rsidR="007529FA" w:rsidRPr="00026043">
        <w:rPr>
          <w:lang w:val="en-GB"/>
        </w:rPr>
        <w:t xml:space="preserve"> 1991; Etingoff 2000),</w:t>
      </w:r>
      <w:r w:rsidRPr="00026043">
        <w:rPr>
          <w:szCs w:val="24"/>
          <w:lang w:val="en-GB"/>
        </w:rPr>
        <w:t xml:space="preserve">one cannot neglect the validity </w:t>
      </w:r>
      <w:r w:rsidR="00B26D51" w:rsidRPr="00026043">
        <w:rPr>
          <w:szCs w:val="24"/>
          <w:lang w:val="en-GB"/>
        </w:rPr>
        <w:t>of the analyz</w:t>
      </w:r>
      <w:r w:rsidRPr="00026043">
        <w:rPr>
          <w:szCs w:val="24"/>
          <w:lang w:val="en-GB"/>
        </w:rPr>
        <w:t xml:space="preserve">ed theme </w:t>
      </w:r>
      <w:r w:rsidR="00A913D2" w:rsidRPr="00026043">
        <w:rPr>
          <w:szCs w:val="24"/>
          <w:lang w:val="en-GB"/>
        </w:rPr>
        <w:t xml:space="preserve">of </w:t>
      </w:r>
      <w:r w:rsidR="00C74056" w:rsidRPr="00026043">
        <w:rPr>
          <w:szCs w:val="24"/>
          <w:lang w:val="en-GB"/>
        </w:rPr>
        <w:t xml:space="preserve">the patristic texts </w:t>
      </w:r>
      <w:r w:rsidRPr="00026043">
        <w:rPr>
          <w:szCs w:val="24"/>
          <w:lang w:val="en-GB"/>
        </w:rPr>
        <w:t xml:space="preserve">as </w:t>
      </w:r>
      <w:r w:rsidR="00C74056" w:rsidRPr="00026043">
        <w:rPr>
          <w:szCs w:val="24"/>
          <w:lang w:val="en-GB"/>
        </w:rPr>
        <w:t xml:space="preserve">its literary </w:t>
      </w:r>
      <w:r w:rsidRPr="00026043">
        <w:rPr>
          <w:szCs w:val="24"/>
          <w:lang w:val="en-GB"/>
        </w:rPr>
        <w:t>source</w:t>
      </w:r>
      <w:r w:rsidR="00AD5C7A" w:rsidRPr="00026043">
        <w:rPr>
          <w:szCs w:val="24"/>
          <w:lang w:val="en-GB"/>
        </w:rPr>
        <w:t xml:space="preserve">. </w:t>
      </w:r>
      <w:r w:rsidR="00C74056" w:rsidRPr="00026043">
        <w:rPr>
          <w:szCs w:val="24"/>
          <w:lang w:val="en-GB"/>
        </w:rPr>
        <w:t xml:space="preserve">To the sphere of the looking for the parallels between the </w:t>
      </w:r>
      <w:r w:rsidR="00C74056" w:rsidRPr="00026043">
        <w:rPr>
          <w:i/>
          <w:szCs w:val="24"/>
          <w:lang w:val="en-GB"/>
        </w:rPr>
        <w:t>Old</w:t>
      </w:r>
      <w:r w:rsidR="00C74056" w:rsidRPr="00026043">
        <w:rPr>
          <w:szCs w:val="24"/>
          <w:lang w:val="en-GB"/>
        </w:rPr>
        <w:t xml:space="preserve"> and the </w:t>
      </w:r>
      <w:r w:rsidR="00C74056" w:rsidRPr="00026043">
        <w:rPr>
          <w:i/>
          <w:szCs w:val="24"/>
          <w:lang w:val="en-GB"/>
        </w:rPr>
        <w:t>New Testaments</w:t>
      </w:r>
      <w:r w:rsidR="00C74056" w:rsidRPr="00026043">
        <w:rPr>
          <w:szCs w:val="24"/>
          <w:lang w:val="en-GB"/>
        </w:rPr>
        <w:t xml:space="preserve"> belongs the vision of the Prophets </w:t>
      </w:r>
      <w:r w:rsidR="00A913D2" w:rsidRPr="00026043">
        <w:rPr>
          <w:szCs w:val="24"/>
          <w:lang w:val="en-GB"/>
        </w:rPr>
        <w:t>regarding</w:t>
      </w:r>
      <w:r w:rsidR="00C74056" w:rsidRPr="00026043">
        <w:rPr>
          <w:szCs w:val="24"/>
          <w:lang w:val="en-GB"/>
        </w:rPr>
        <w:t xml:space="preserve"> the </w:t>
      </w:r>
      <w:r w:rsidR="00A913D2" w:rsidRPr="00026043">
        <w:rPr>
          <w:szCs w:val="24"/>
          <w:lang w:val="en-GB"/>
        </w:rPr>
        <w:t>m</w:t>
      </w:r>
      <w:r w:rsidR="00C74056" w:rsidRPr="00026043">
        <w:rPr>
          <w:szCs w:val="24"/>
          <w:lang w:val="en-GB"/>
        </w:rPr>
        <w:t xml:space="preserve">agnificent role of </w:t>
      </w:r>
      <w:r w:rsidR="00A913D2" w:rsidRPr="00026043">
        <w:rPr>
          <w:szCs w:val="24"/>
          <w:lang w:val="en-GB"/>
        </w:rPr>
        <w:t xml:space="preserve">the Virgin </w:t>
      </w:r>
      <w:r w:rsidR="00C74056" w:rsidRPr="00026043">
        <w:rPr>
          <w:szCs w:val="24"/>
          <w:lang w:val="en-GB"/>
        </w:rPr>
        <w:t>Mary. This was the com</w:t>
      </w:r>
      <w:r w:rsidR="009E4B7E" w:rsidRPr="00026043">
        <w:rPr>
          <w:szCs w:val="24"/>
          <w:lang w:val="en-GB"/>
        </w:rPr>
        <w:t xml:space="preserve">mon link </w:t>
      </w:r>
      <w:r w:rsidR="00A913D2" w:rsidRPr="00026043">
        <w:rPr>
          <w:szCs w:val="24"/>
          <w:lang w:val="en-GB"/>
        </w:rPr>
        <w:t>regarding</w:t>
      </w:r>
      <w:r w:rsidR="009E4B7E" w:rsidRPr="00026043">
        <w:rPr>
          <w:szCs w:val="24"/>
          <w:lang w:val="en-GB"/>
        </w:rPr>
        <w:t xml:space="preserve"> the writings of SS.</w:t>
      </w:r>
      <w:r w:rsidR="00AD5E26" w:rsidRPr="00026043">
        <w:rPr>
          <w:szCs w:val="24"/>
          <w:lang w:val="en-GB"/>
        </w:rPr>
        <w:t>Athanasiu</w:t>
      </w:r>
      <w:r w:rsidR="009E4B7E" w:rsidRPr="00026043">
        <w:rPr>
          <w:szCs w:val="24"/>
          <w:lang w:val="en-GB"/>
        </w:rPr>
        <w:t>s</w:t>
      </w:r>
      <w:r w:rsidR="00AD5E26" w:rsidRPr="00026043">
        <w:rPr>
          <w:szCs w:val="24"/>
          <w:lang w:val="en-GB"/>
        </w:rPr>
        <w:t xml:space="preserve"> of Alexandria (+373), Eph</w:t>
      </w:r>
      <w:r w:rsidR="00AD5C7A" w:rsidRPr="00026043">
        <w:rPr>
          <w:szCs w:val="24"/>
          <w:lang w:val="en-GB"/>
        </w:rPr>
        <w:t>rem</w:t>
      </w:r>
      <w:r w:rsidR="00AD5E26" w:rsidRPr="00026043">
        <w:rPr>
          <w:szCs w:val="24"/>
          <w:lang w:val="en-GB"/>
        </w:rPr>
        <w:t xml:space="preserve">the Syrian </w:t>
      </w:r>
      <w:r w:rsidR="00AD5C7A" w:rsidRPr="00026043">
        <w:rPr>
          <w:szCs w:val="24"/>
          <w:lang w:val="en-GB"/>
        </w:rPr>
        <w:t xml:space="preserve">(+373), </w:t>
      </w:r>
      <w:r w:rsidR="009E4B7E" w:rsidRPr="00026043">
        <w:rPr>
          <w:szCs w:val="24"/>
          <w:lang w:val="en-GB"/>
        </w:rPr>
        <w:t>Cy</w:t>
      </w:r>
      <w:r w:rsidR="00C74056" w:rsidRPr="00026043">
        <w:rPr>
          <w:szCs w:val="24"/>
          <w:lang w:val="en-GB"/>
        </w:rPr>
        <w:t>ril of Alexandria</w:t>
      </w:r>
      <w:r w:rsidR="00AD5E26" w:rsidRPr="00026043">
        <w:rPr>
          <w:szCs w:val="24"/>
          <w:lang w:val="en-GB"/>
        </w:rPr>
        <w:t xml:space="preserve"> (+c.444)</w:t>
      </w:r>
      <w:r w:rsidR="00AD5C7A" w:rsidRPr="00026043">
        <w:rPr>
          <w:szCs w:val="24"/>
          <w:lang w:val="en-GB"/>
        </w:rPr>
        <w:t xml:space="preserve">, </w:t>
      </w:r>
      <w:r w:rsidR="00AD5E26" w:rsidRPr="00026043">
        <w:rPr>
          <w:szCs w:val="24"/>
          <w:lang w:val="en-GB"/>
        </w:rPr>
        <w:t xml:space="preserve">Patriarch </w:t>
      </w:r>
      <w:r w:rsidR="00AD5C7A" w:rsidRPr="00026043">
        <w:rPr>
          <w:szCs w:val="24"/>
          <w:lang w:val="en-GB"/>
        </w:rPr>
        <w:t>German</w:t>
      </w:r>
      <w:r w:rsidR="00AD5E26" w:rsidRPr="00026043">
        <w:rPr>
          <w:szCs w:val="24"/>
          <w:lang w:val="en-GB"/>
        </w:rPr>
        <w:t>usI of Constantinople(+740</w:t>
      </w:r>
      <w:r w:rsidR="00AD5C7A" w:rsidRPr="00026043">
        <w:rPr>
          <w:szCs w:val="24"/>
          <w:lang w:val="en-GB"/>
        </w:rPr>
        <w:t>)</w:t>
      </w:r>
      <w:r w:rsidR="00C74056" w:rsidRPr="00026043">
        <w:rPr>
          <w:szCs w:val="24"/>
          <w:lang w:val="en-GB"/>
        </w:rPr>
        <w:t xml:space="preserve"> and Theodor</w:t>
      </w:r>
      <w:r w:rsidR="00AD5E26" w:rsidRPr="00026043">
        <w:rPr>
          <w:szCs w:val="24"/>
          <w:lang w:val="en-GB"/>
        </w:rPr>
        <w:t>e</w:t>
      </w:r>
      <w:r w:rsidR="00C74056" w:rsidRPr="00026043">
        <w:rPr>
          <w:szCs w:val="24"/>
          <w:lang w:val="en-GB"/>
        </w:rPr>
        <w:t>Studite</w:t>
      </w:r>
      <w:r w:rsidR="00AD5E26" w:rsidRPr="00026043">
        <w:rPr>
          <w:szCs w:val="24"/>
          <w:lang w:val="en-GB"/>
        </w:rPr>
        <w:t>s</w:t>
      </w:r>
      <w:r w:rsidR="00AD5C7A" w:rsidRPr="00026043">
        <w:rPr>
          <w:szCs w:val="24"/>
          <w:lang w:val="en-GB"/>
        </w:rPr>
        <w:t xml:space="preserve"> (+826). </w:t>
      </w:r>
      <w:r w:rsidR="00B26D51" w:rsidRPr="00026043">
        <w:rPr>
          <w:szCs w:val="24"/>
          <w:lang w:val="en-GB"/>
        </w:rPr>
        <w:t>The vi</w:t>
      </w:r>
      <w:r w:rsidR="00C74056" w:rsidRPr="00026043">
        <w:rPr>
          <w:szCs w:val="24"/>
          <w:lang w:val="en-GB"/>
        </w:rPr>
        <w:t xml:space="preserve">sion was common in the same time </w:t>
      </w:r>
      <w:r w:rsidR="00394621" w:rsidRPr="00026043">
        <w:rPr>
          <w:szCs w:val="24"/>
          <w:lang w:val="en-GB"/>
        </w:rPr>
        <w:t xml:space="preserve">to the homiletic tradition of </w:t>
      </w:r>
      <w:r w:rsidR="00C74056" w:rsidRPr="00026043">
        <w:rPr>
          <w:szCs w:val="24"/>
          <w:lang w:val="en-GB"/>
        </w:rPr>
        <w:t>both Churches of the East and the West. In the wall paintings this idea was expressed simultaneously in the painting by asso</w:t>
      </w:r>
      <w:r w:rsidR="00B26D51" w:rsidRPr="00026043">
        <w:rPr>
          <w:szCs w:val="24"/>
          <w:lang w:val="en-GB"/>
        </w:rPr>
        <w:t>ciati</w:t>
      </w:r>
      <w:r w:rsidR="00A913D2" w:rsidRPr="00026043">
        <w:rPr>
          <w:szCs w:val="24"/>
          <w:lang w:val="en-GB"/>
        </w:rPr>
        <w:t xml:space="preserve">ngspecific attributes </w:t>
      </w:r>
      <w:r w:rsidR="00C74056" w:rsidRPr="00026043">
        <w:rPr>
          <w:szCs w:val="24"/>
          <w:lang w:val="en-GB"/>
        </w:rPr>
        <w:t xml:space="preserve">with the </w:t>
      </w:r>
      <w:r w:rsidR="00A913D2" w:rsidRPr="00026043">
        <w:rPr>
          <w:szCs w:val="24"/>
          <w:lang w:val="en-GB"/>
        </w:rPr>
        <w:t xml:space="preserve">individual </w:t>
      </w:r>
      <w:r w:rsidR="00C74056" w:rsidRPr="00026043">
        <w:rPr>
          <w:szCs w:val="24"/>
          <w:lang w:val="en-GB"/>
        </w:rPr>
        <w:t xml:space="preserve">prophets and in the </w:t>
      </w:r>
      <w:r w:rsidR="00B26D51" w:rsidRPr="00026043">
        <w:rPr>
          <w:szCs w:val="24"/>
          <w:lang w:val="en-GB"/>
        </w:rPr>
        <w:t>verbal layer by adding to them the written scrolls fulfill</w:t>
      </w:r>
      <w:r w:rsidR="00A913D2" w:rsidRPr="00026043">
        <w:rPr>
          <w:szCs w:val="24"/>
          <w:lang w:val="en-GB"/>
        </w:rPr>
        <w:t>ed</w:t>
      </w:r>
      <w:r w:rsidR="00B26D51" w:rsidRPr="00026043">
        <w:rPr>
          <w:szCs w:val="24"/>
          <w:lang w:val="en-GB"/>
        </w:rPr>
        <w:t xml:space="preserve"> with their predictions, repeated in the sermons of the Fathers of the Church. </w:t>
      </w:r>
    </w:p>
    <w:p w:rsidR="00AD5C7A" w:rsidRPr="00026043" w:rsidRDefault="00AD5C7A" w:rsidP="000A2C87">
      <w:pPr>
        <w:rPr>
          <w:szCs w:val="24"/>
          <w:lang w:val="en-GB"/>
        </w:rPr>
      </w:pPr>
      <w:r w:rsidRPr="00026043">
        <w:rPr>
          <w:szCs w:val="24"/>
          <w:lang w:val="en-GB"/>
        </w:rPr>
        <w:tab/>
      </w:r>
      <w:r w:rsidR="00BF3544" w:rsidRPr="00026043">
        <w:rPr>
          <w:szCs w:val="24"/>
          <w:lang w:val="en-GB"/>
        </w:rPr>
        <w:t>It is t</w:t>
      </w:r>
      <w:r w:rsidR="00AD5E26" w:rsidRPr="00026043">
        <w:rPr>
          <w:szCs w:val="24"/>
          <w:lang w:val="en-GB"/>
        </w:rPr>
        <w:t>he anticonoc</w:t>
      </w:r>
      <w:r w:rsidR="00B26D51" w:rsidRPr="00026043">
        <w:rPr>
          <w:szCs w:val="24"/>
          <w:lang w:val="en-GB"/>
        </w:rPr>
        <w:t xml:space="preserve">last activity of the apologets and the defenders of the </w:t>
      </w:r>
      <w:r w:rsidR="00026043" w:rsidRPr="00026043">
        <w:rPr>
          <w:szCs w:val="24"/>
          <w:lang w:val="en-GB"/>
        </w:rPr>
        <w:t>worship</w:t>
      </w:r>
      <w:r w:rsidR="00B26D51" w:rsidRPr="00026043">
        <w:rPr>
          <w:szCs w:val="24"/>
          <w:lang w:val="en-GB"/>
        </w:rPr>
        <w:t xml:space="preserve"> due to venerated icons and the </w:t>
      </w:r>
      <w:r w:rsidR="00BF3544" w:rsidRPr="00026043">
        <w:rPr>
          <w:szCs w:val="24"/>
          <w:lang w:val="en-GB"/>
        </w:rPr>
        <w:t xml:space="preserve">role of the </w:t>
      </w:r>
      <w:r w:rsidR="00B26D51" w:rsidRPr="00026043">
        <w:rPr>
          <w:szCs w:val="24"/>
          <w:lang w:val="en-GB"/>
        </w:rPr>
        <w:t>hymnographs</w:t>
      </w:r>
      <w:r w:rsidR="00BF3544" w:rsidRPr="00026043">
        <w:rPr>
          <w:szCs w:val="24"/>
          <w:lang w:val="en-GB"/>
        </w:rPr>
        <w:t xml:space="preserve">which </w:t>
      </w:r>
      <w:r w:rsidR="00AE6B21" w:rsidRPr="00026043">
        <w:rPr>
          <w:szCs w:val="24"/>
          <w:lang w:val="en-GB"/>
        </w:rPr>
        <w:t>exerted</w:t>
      </w:r>
      <w:r w:rsidR="00BF3544" w:rsidRPr="00026043">
        <w:rPr>
          <w:szCs w:val="24"/>
          <w:lang w:val="en-GB"/>
        </w:rPr>
        <w:t xml:space="preserve"> great influence </w:t>
      </w:r>
      <w:r w:rsidR="00AE6B21" w:rsidRPr="00026043">
        <w:rPr>
          <w:szCs w:val="24"/>
          <w:lang w:val="en-GB"/>
        </w:rPr>
        <w:t xml:space="preserve">on </w:t>
      </w:r>
      <w:r w:rsidR="00BF3544" w:rsidRPr="00026043">
        <w:rPr>
          <w:szCs w:val="24"/>
          <w:lang w:val="en-GB"/>
        </w:rPr>
        <w:t>the final shape of this iconography</w:t>
      </w:r>
      <w:r w:rsidR="00B26D51" w:rsidRPr="00026043">
        <w:rPr>
          <w:szCs w:val="24"/>
          <w:lang w:val="en-GB"/>
        </w:rPr>
        <w:t xml:space="preserve">. </w:t>
      </w:r>
      <w:r w:rsidR="00BF3544" w:rsidRPr="00026043">
        <w:rPr>
          <w:szCs w:val="24"/>
          <w:lang w:val="en-GB"/>
        </w:rPr>
        <w:t>The lat</w:t>
      </w:r>
      <w:r w:rsidR="008A77D4" w:rsidRPr="00026043">
        <w:rPr>
          <w:szCs w:val="24"/>
          <w:lang w:val="en-GB"/>
        </w:rPr>
        <w:t>ter,</w:t>
      </w:r>
      <w:r w:rsidR="00BF3544" w:rsidRPr="00026043">
        <w:rPr>
          <w:szCs w:val="24"/>
          <w:lang w:val="en-GB"/>
        </w:rPr>
        <w:t xml:space="preserve"> soon after their canonization</w:t>
      </w:r>
      <w:r w:rsidR="008A77D4" w:rsidRPr="00026043">
        <w:rPr>
          <w:szCs w:val="24"/>
          <w:lang w:val="en-GB"/>
        </w:rPr>
        <w:t>,</w:t>
      </w:r>
      <w:r w:rsidR="00BF3544" w:rsidRPr="00026043">
        <w:rPr>
          <w:szCs w:val="24"/>
          <w:lang w:val="en-GB"/>
        </w:rPr>
        <w:t xml:space="preserve"> were placed nearby the Mother of God together with the </w:t>
      </w:r>
      <w:r w:rsidR="00026043" w:rsidRPr="00026043">
        <w:rPr>
          <w:szCs w:val="24"/>
          <w:lang w:val="en-GB"/>
        </w:rPr>
        <w:t>rows</w:t>
      </w:r>
      <w:r w:rsidR="00BF3544" w:rsidRPr="00026043">
        <w:rPr>
          <w:szCs w:val="24"/>
          <w:lang w:val="en-GB"/>
        </w:rPr>
        <w:t xml:space="preserve"> of prophets on the icons and frescoes. </w:t>
      </w:r>
      <w:r w:rsidR="00B26D51" w:rsidRPr="00026043">
        <w:rPr>
          <w:szCs w:val="24"/>
          <w:lang w:val="en-GB"/>
        </w:rPr>
        <w:t xml:space="preserve">The </w:t>
      </w:r>
      <w:r w:rsidR="008A77D4" w:rsidRPr="00026043">
        <w:rPr>
          <w:szCs w:val="24"/>
          <w:lang w:val="en-GB"/>
        </w:rPr>
        <w:t xml:space="preserve">one who can be distinguished </w:t>
      </w:r>
      <w:r w:rsidR="00B26D51" w:rsidRPr="00026043">
        <w:rPr>
          <w:szCs w:val="24"/>
          <w:lang w:val="en-GB"/>
        </w:rPr>
        <w:t xml:space="preserve">among </w:t>
      </w:r>
      <w:r w:rsidR="00AD5E26" w:rsidRPr="00026043">
        <w:rPr>
          <w:szCs w:val="24"/>
          <w:lang w:val="en-GB"/>
        </w:rPr>
        <w:t>t</w:t>
      </w:r>
      <w:r w:rsidR="00B26D51" w:rsidRPr="00026043">
        <w:rPr>
          <w:szCs w:val="24"/>
          <w:lang w:val="en-GB"/>
        </w:rPr>
        <w:t xml:space="preserve">hem was John of Damascus, who joined the </w:t>
      </w:r>
      <w:r w:rsidR="00AD5E26" w:rsidRPr="00026043">
        <w:rPr>
          <w:szCs w:val="24"/>
          <w:lang w:val="en-GB"/>
        </w:rPr>
        <w:t>apolog</w:t>
      </w:r>
      <w:r w:rsidR="00B26D51" w:rsidRPr="00026043">
        <w:rPr>
          <w:szCs w:val="24"/>
          <w:lang w:val="en-GB"/>
        </w:rPr>
        <w:t xml:space="preserve">etic passion </w:t>
      </w:r>
      <w:r w:rsidR="00AD5E26" w:rsidRPr="00026043">
        <w:rPr>
          <w:szCs w:val="24"/>
          <w:lang w:val="en-GB"/>
        </w:rPr>
        <w:t>with the M</w:t>
      </w:r>
      <w:r w:rsidR="00B26D51" w:rsidRPr="00026043">
        <w:rPr>
          <w:szCs w:val="24"/>
          <w:lang w:val="en-GB"/>
        </w:rPr>
        <w:t>ari</w:t>
      </w:r>
      <w:r w:rsidR="00BF3544" w:rsidRPr="00026043">
        <w:rPr>
          <w:szCs w:val="24"/>
          <w:lang w:val="en-GB"/>
        </w:rPr>
        <w:t>ol</w:t>
      </w:r>
      <w:r w:rsidR="00AD5E26" w:rsidRPr="00026043">
        <w:rPr>
          <w:szCs w:val="24"/>
          <w:lang w:val="en-GB"/>
        </w:rPr>
        <w:t>ogical</w:t>
      </w:r>
      <w:r w:rsidR="00B26D51" w:rsidRPr="00026043">
        <w:rPr>
          <w:szCs w:val="24"/>
          <w:lang w:val="en-GB"/>
        </w:rPr>
        <w:t xml:space="preserve"> homiletic, based on the heritage of the Fathers of</w:t>
      </w:r>
      <w:r w:rsidR="00394621" w:rsidRPr="00026043">
        <w:rPr>
          <w:szCs w:val="24"/>
          <w:lang w:val="en-GB"/>
        </w:rPr>
        <w:t xml:space="preserve"> the Church and </w:t>
      </w:r>
      <w:r w:rsidR="00394621" w:rsidRPr="00026043">
        <w:rPr>
          <w:i/>
          <w:szCs w:val="24"/>
          <w:lang w:val="en-GB"/>
        </w:rPr>
        <w:t>T</w:t>
      </w:r>
      <w:r w:rsidR="00B26D51" w:rsidRPr="00026043">
        <w:rPr>
          <w:i/>
          <w:szCs w:val="24"/>
          <w:lang w:val="en-GB"/>
        </w:rPr>
        <w:t>he Holy Script</w:t>
      </w:r>
      <w:r w:rsidR="00B26D51" w:rsidRPr="00026043">
        <w:rPr>
          <w:szCs w:val="24"/>
          <w:lang w:val="en-GB"/>
        </w:rPr>
        <w:t>.</w:t>
      </w:r>
      <w:bookmarkStart w:id="0" w:name="_GoBack"/>
      <w:bookmarkEnd w:id="0"/>
    </w:p>
    <w:p w:rsidR="00AD5C7A" w:rsidRPr="00026043" w:rsidRDefault="00AD5C7A" w:rsidP="000A2C87">
      <w:pPr>
        <w:rPr>
          <w:lang w:val="en-GB"/>
        </w:rPr>
      </w:pPr>
      <w:r w:rsidRPr="00026043">
        <w:rPr>
          <w:szCs w:val="24"/>
          <w:lang w:val="en-GB"/>
        </w:rPr>
        <w:tab/>
      </w:r>
      <w:r w:rsidR="008B1141" w:rsidRPr="00026043">
        <w:rPr>
          <w:szCs w:val="24"/>
          <w:lang w:val="en-GB"/>
        </w:rPr>
        <w:t>The heroes depicted around the Mother of God form the Holy assembly, as the witness</w:t>
      </w:r>
      <w:r w:rsidR="00AD5E26" w:rsidRPr="00026043">
        <w:rPr>
          <w:szCs w:val="24"/>
          <w:lang w:val="en-GB"/>
        </w:rPr>
        <w:t xml:space="preserve">es of </w:t>
      </w:r>
      <w:r w:rsidR="00AD5E26" w:rsidRPr="00026043">
        <w:rPr>
          <w:i/>
          <w:szCs w:val="24"/>
          <w:lang w:val="en-GB"/>
        </w:rPr>
        <w:t>T</w:t>
      </w:r>
      <w:r w:rsidR="009E4B7E" w:rsidRPr="00026043">
        <w:rPr>
          <w:i/>
          <w:szCs w:val="24"/>
          <w:lang w:val="en-GB"/>
        </w:rPr>
        <w:t xml:space="preserve">he Good </w:t>
      </w:r>
      <w:r w:rsidR="009E4B7E" w:rsidRPr="00A6112F">
        <w:rPr>
          <w:i/>
          <w:szCs w:val="24"/>
          <w:lang w:val="en-GB"/>
        </w:rPr>
        <w:t>Revelance</w:t>
      </w:r>
      <w:r w:rsidRPr="00A6112F">
        <w:rPr>
          <w:szCs w:val="24"/>
          <w:lang w:val="en-GB"/>
        </w:rPr>
        <w:t>,</w:t>
      </w:r>
      <w:r w:rsidR="009E4B7E" w:rsidRPr="00026043">
        <w:rPr>
          <w:szCs w:val="24"/>
          <w:lang w:val="en-GB"/>
        </w:rPr>
        <w:t>adoring the role played by the Daughter of Joachim and Anna</w:t>
      </w:r>
      <w:r w:rsidRPr="00026043">
        <w:rPr>
          <w:szCs w:val="24"/>
          <w:lang w:val="en-GB"/>
        </w:rPr>
        <w:t xml:space="preserve">. </w:t>
      </w:r>
      <w:r w:rsidR="008A77D4" w:rsidRPr="00026043">
        <w:rPr>
          <w:szCs w:val="24"/>
          <w:lang w:val="en-GB"/>
        </w:rPr>
        <w:t>T</w:t>
      </w:r>
      <w:r w:rsidR="00AD5E26" w:rsidRPr="00026043">
        <w:rPr>
          <w:szCs w:val="24"/>
          <w:lang w:val="en-GB"/>
        </w:rPr>
        <w:t>hey announce</w:t>
      </w:r>
      <w:r w:rsidR="008A77D4" w:rsidRPr="00026043">
        <w:rPr>
          <w:szCs w:val="24"/>
          <w:lang w:val="en-GB"/>
        </w:rPr>
        <w:t xml:space="preserve">together </w:t>
      </w:r>
      <w:r w:rsidR="009E4B7E" w:rsidRPr="00026043">
        <w:rPr>
          <w:szCs w:val="24"/>
          <w:lang w:val="en-GB"/>
        </w:rPr>
        <w:t xml:space="preserve">the </w:t>
      </w:r>
      <w:r w:rsidR="00AD5E26" w:rsidRPr="00026043">
        <w:rPr>
          <w:szCs w:val="24"/>
          <w:lang w:val="en-GB"/>
        </w:rPr>
        <w:t>Act of Incarnation and the Glory of Mother of God and Jesus</w:t>
      </w:r>
      <w:r w:rsidRPr="00026043">
        <w:rPr>
          <w:szCs w:val="24"/>
          <w:lang w:val="en-GB"/>
        </w:rPr>
        <w:t xml:space="preserve">. </w:t>
      </w:r>
      <w:r w:rsidR="009E4B7E" w:rsidRPr="00026043">
        <w:rPr>
          <w:szCs w:val="24"/>
          <w:lang w:val="en-GB"/>
        </w:rPr>
        <w:t>One of the accurate description of the Glory of Mary which seemed to be just a kind of ekphrasis of the composition of the described type is</w:t>
      </w:r>
      <w:r w:rsidR="00394621" w:rsidRPr="00026043">
        <w:rPr>
          <w:szCs w:val="24"/>
          <w:lang w:val="en-GB"/>
        </w:rPr>
        <w:t xml:space="preserve"> the text </w:t>
      </w:r>
      <w:r w:rsidR="009E4B7E" w:rsidRPr="00026043">
        <w:rPr>
          <w:szCs w:val="24"/>
          <w:lang w:val="en-GB"/>
        </w:rPr>
        <w:t>of St. Tarrasios</w:t>
      </w:r>
      <w:r w:rsidR="00394621" w:rsidRPr="00026043">
        <w:rPr>
          <w:szCs w:val="24"/>
          <w:lang w:val="en-GB"/>
        </w:rPr>
        <w:t xml:space="preserve">(+ 806) </w:t>
      </w:r>
      <w:r w:rsidR="009E4B7E" w:rsidRPr="00026043">
        <w:rPr>
          <w:i/>
          <w:szCs w:val="24"/>
          <w:lang w:val="en-GB"/>
        </w:rPr>
        <w:t xml:space="preserve">Sermon on the Offering of the Holy Mary to the Temple </w:t>
      </w:r>
      <w:r w:rsidR="00FE09AC" w:rsidRPr="00026043">
        <w:rPr>
          <w:szCs w:val="24"/>
          <w:lang w:val="en-GB"/>
        </w:rPr>
        <w:t>(</w:t>
      </w:r>
      <w:r w:rsidR="00FE09AC" w:rsidRPr="00026043">
        <w:rPr>
          <w:i/>
          <w:szCs w:val="24"/>
          <w:lang w:val="en-GB"/>
        </w:rPr>
        <w:t>PG</w:t>
      </w:r>
      <w:r w:rsidR="00FE09AC" w:rsidRPr="00026043">
        <w:rPr>
          <w:szCs w:val="24"/>
          <w:lang w:val="en-GB"/>
        </w:rPr>
        <w:t xml:space="preserve"> 98, 460-465).</w:t>
      </w:r>
    </w:p>
    <w:p w:rsidR="005B0822" w:rsidRPr="00026043" w:rsidRDefault="009E4B7E" w:rsidP="009E4B7E">
      <w:pPr>
        <w:ind w:firstLine="708"/>
        <w:rPr>
          <w:szCs w:val="24"/>
          <w:lang w:val="en-GB"/>
        </w:rPr>
      </w:pPr>
      <w:r w:rsidRPr="00026043">
        <w:rPr>
          <w:szCs w:val="24"/>
          <w:lang w:val="en-GB"/>
        </w:rPr>
        <w:t>Finally</w:t>
      </w:r>
      <w:r w:rsidR="003D6434" w:rsidRPr="00026043">
        <w:rPr>
          <w:szCs w:val="24"/>
          <w:lang w:val="en-GB"/>
        </w:rPr>
        <w:t>,</w:t>
      </w:r>
      <w:r w:rsidR="00CE23B3" w:rsidRPr="00026043">
        <w:rPr>
          <w:szCs w:val="24"/>
          <w:lang w:val="en-GB"/>
        </w:rPr>
        <w:t xml:space="preserve">I agree </w:t>
      </w:r>
      <w:r w:rsidR="00394621" w:rsidRPr="00026043">
        <w:rPr>
          <w:szCs w:val="24"/>
          <w:lang w:val="en-GB"/>
        </w:rPr>
        <w:t xml:space="preserve">also </w:t>
      </w:r>
      <w:r w:rsidR="00CE23B3" w:rsidRPr="00026043">
        <w:rPr>
          <w:szCs w:val="24"/>
          <w:lang w:val="en-GB"/>
        </w:rPr>
        <w:t xml:space="preserve">with </w:t>
      </w:r>
      <w:r w:rsidR="00A6112F">
        <w:rPr>
          <w:szCs w:val="24"/>
          <w:lang w:val="en-GB"/>
        </w:rPr>
        <w:t xml:space="preserve">L. </w:t>
      </w:r>
      <w:r w:rsidR="00CE23B3" w:rsidRPr="00026043">
        <w:rPr>
          <w:szCs w:val="24"/>
          <w:lang w:val="en-GB"/>
        </w:rPr>
        <w:t xml:space="preserve">Popović that this subject could be treated as the </w:t>
      </w:r>
      <w:r w:rsidR="00BE535E" w:rsidRPr="00026043">
        <w:rPr>
          <w:szCs w:val="24"/>
          <w:lang w:val="en-GB"/>
        </w:rPr>
        <w:t>result</w:t>
      </w:r>
      <w:r w:rsidR="00CE23B3" w:rsidRPr="00026043">
        <w:rPr>
          <w:szCs w:val="24"/>
          <w:lang w:val="en-GB"/>
        </w:rPr>
        <w:t xml:space="preserve"> of growing popularity of hymnography which added some poetry into the inscriptions in the Sinai icon. The role of hymnography was special during </w:t>
      </w:r>
      <w:r w:rsidR="00BE535E" w:rsidRPr="00026043">
        <w:rPr>
          <w:szCs w:val="24"/>
          <w:lang w:val="en-GB"/>
        </w:rPr>
        <w:t xml:space="preserve">the </w:t>
      </w:r>
      <w:r w:rsidR="00CE23B3" w:rsidRPr="00026043">
        <w:rPr>
          <w:szCs w:val="24"/>
          <w:lang w:val="en-GB"/>
        </w:rPr>
        <w:t>Paleologian period</w:t>
      </w:r>
      <w:r w:rsidRPr="00026043">
        <w:rPr>
          <w:szCs w:val="24"/>
          <w:lang w:val="en-GB"/>
        </w:rPr>
        <w:t xml:space="preserve"> and some Hymns, and above all </w:t>
      </w:r>
      <w:r w:rsidRPr="00026043">
        <w:rPr>
          <w:i/>
          <w:szCs w:val="24"/>
          <w:lang w:val="en-GB"/>
        </w:rPr>
        <w:t>T</w:t>
      </w:r>
      <w:r w:rsidR="00CE23B3" w:rsidRPr="00026043">
        <w:rPr>
          <w:i/>
          <w:szCs w:val="24"/>
          <w:lang w:val="en-GB"/>
        </w:rPr>
        <w:t>he AkathistosHymnos</w:t>
      </w:r>
      <w:r w:rsidR="00CE23B3" w:rsidRPr="00026043">
        <w:rPr>
          <w:szCs w:val="24"/>
          <w:lang w:val="en-GB"/>
        </w:rPr>
        <w:t xml:space="preserve"> became richly illustrated in large cycles. </w:t>
      </w:r>
      <w:r w:rsidR="004A2FD2" w:rsidRPr="00026043">
        <w:rPr>
          <w:szCs w:val="24"/>
          <w:lang w:val="en-GB"/>
        </w:rPr>
        <w:t>Perhaps i</w:t>
      </w:r>
      <w:r w:rsidR="00CE23B3" w:rsidRPr="00026043">
        <w:rPr>
          <w:szCs w:val="24"/>
          <w:lang w:val="en-GB"/>
        </w:rPr>
        <w:t xml:space="preserve">t was the reason why </w:t>
      </w:r>
      <w:r w:rsidR="00A6112F">
        <w:rPr>
          <w:szCs w:val="24"/>
          <w:lang w:val="en-GB"/>
        </w:rPr>
        <w:t xml:space="preserve">M. </w:t>
      </w:r>
      <w:r w:rsidR="00CE23B3" w:rsidRPr="00026043">
        <w:rPr>
          <w:szCs w:val="24"/>
          <w:lang w:val="en-GB"/>
        </w:rPr>
        <w:t>Chatzidakis</w:t>
      </w:r>
      <w:r w:rsidRPr="00026043">
        <w:rPr>
          <w:szCs w:val="24"/>
          <w:lang w:val="en-GB"/>
        </w:rPr>
        <w:t xml:space="preserve">(1962) </w:t>
      </w:r>
      <w:r w:rsidR="00CE23B3" w:rsidRPr="00026043">
        <w:rPr>
          <w:szCs w:val="24"/>
          <w:lang w:val="en-GB"/>
        </w:rPr>
        <w:t xml:space="preserve">or earlier </w:t>
      </w:r>
      <w:r w:rsidR="00AD2A7B" w:rsidRPr="00026043">
        <w:rPr>
          <w:szCs w:val="24"/>
          <w:lang w:val="en-GB"/>
        </w:rPr>
        <w:t>Ş. Ştefănescu</w:t>
      </w:r>
      <w:r w:rsidR="00CE23B3" w:rsidRPr="00026043">
        <w:rPr>
          <w:szCs w:val="24"/>
          <w:lang w:val="en-GB"/>
        </w:rPr>
        <w:t xml:space="preserve"> (1929) would also like to see in this subject the kind of the illustration of the Hymn </w:t>
      </w:r>
      <w:r w:rsidR="00CE23B3" w:rsidRPr="00026043">
        <w:rPr>
          <w:i/>
          <w:szCs w:val="24"/>
          <w:lang w:val="en-GB"/>
        </w:rPr>
        <w:t>All the creation rejoices in Thee</w:t>
      </w:r>
      <w:r w:rsidR="00CE23B3" w:rsidRPr="00026043">
        <w:rPr>
          <w:szCs w:val="24"/>
          <w:lang w:val="en-GB"/>
        </w:rPr>
        <w:t xml:space="preserve"> / </w:t>
      </w:r>
      <w:r w:rsidR="00CE23B3" w:rsidRPr="00026043">
        <w:rPr>
          <w:i/>
          <w:szCs w:val="24"/>
          <w:lang w:val="en-GB"/>
        </w:rPr>
        <w:t>Tufais la joie</w:t>
      </w:r>
      <w:r w:rsidR="00BF3544" w:rsidRPr="00026043">
        <w:rPr>
          <w:szCs w:val="24"/>
          <w:lang w:val="en-GB"/>
        </w:rPr>
        <w:t xml:space="preserve"> for the aspect of Triumph – the Triumph of Orthodoxy in the depictions</w:t>
      </w:r>
      <w:r w:rsidR="00CE23B3" w:rsidRPr="00026043">
        <w:rPr>
          <w:szCs w:val="24"/>
          <w:lang w:val="en-GB"/>
        </w:rPr>
        <w:t xml:space="preserve">: </w:t>
      </w:r>
      <w:r w:rsidR="00CE23B3" w:rsidRPr="00026043">
        <w:rPr>
          <w:i/>
          <w:szCs w:val="24"/>
          <w:lang w:val="en-GB"/>
        </w:rPr>
        <w:t>Vierge en Gloire</w:t>
      </w:r>
      <w:r w:rsidR="00CE23B3" w:rsidRPr="00026043">
        <w:rPr>
          <w:szCs w:val="24"/>
          <w:lang w:val="en-GB"/>
        </w:rPr>
        <w:t xml:space="preserve"> / </w:t>
      </w:r>
      <w:r w:rsidR="00CE23B3" w:rsidRPr="00026043">
        <w:rPr>
          <w:i/>
          <w:szCs w:val="24"/>
          <w:lang w:val="en-GB"/>
        </w:rPr>
        <w:t>Glory of Virgin</w:t>
      </w:r>
      <w:r w:rsidR="00CE23B3" w:rsidRPr="00026043">
        <w:rPr>
          <w:szCs w:val="24"/>
          <w:lang w:val="en-GB"/>
        </w:rPr>
        <w:t xml:space="preserve"> / </w:t>
      </w:r>
      <w:r w:rsidRPr="00026043">
        <w:rPr>
          <w:rFonts w:cs="Times New Roman"/>
          <w:i/>
          <w:szCs w:val="24"/>
          <w:lang w:val="en-GB"/>
        </w:rPr>
        <w:t>ПохвалаБогоматери</w:t>
      </w:r>
      <w:r w:rsidR="00CE23B3" w:rsidRPr="00026043">
        <w:rPr>
          <w:szCs w:val="24"/>
          <w:lang w:val="en-GB"/>
        </w:rPr>
        <w:t xml:space="preserve"> is clearly visible.</w:t>
      </w:r>
    </w:p>
    <w:p w:rsidR="004A2FD2" w:rsidRPr="00026043" w:rsidRDefault="004A2FD2" w:rsidP="009E4B7E">
      <w:pPr>
        <w:ind w:firstLine="708"/>
        <w:rPr>
          <w:lang w:val="en-GB"/>
        </w:rPr>
      </w:pPr>
    </w:p>
    <w:sectPr w:rsidR="004A2FD2" w:rsidRPr="00026043" w:rsidSect="00A73B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7AEE" w:rsidRDefault="00D57AEE" w:rsidP="00AD5C7A">
      <w:r>
        <w:separator/>
      </w:r>
    </w:p>
  </w:endnote>
  <w:endnote w:type="continuationSeparator" w:id="1">
    <w:p w:rsidR="00D57AEE" w:rsidRDefault="00D57AEE" w:rsidP="00AD5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7AEE" w:rsidRDefault="00D57AEE" w:rsidP="00AD5C7A">
      <w:r>
        <w:separator/>
      </w:r>
    </w:p>
  </w:footnote>
  <w:footnote w:type="continuationSeparator" w:id="1">
    <w:p w:rsidR="00D57AEE" w:rsidRDefault="00D57AEE" w:rsidP="00AD5C7A">
      <w:r>
        <w:continuationSeparator/>
      </w:r>
    </w:p>
  </w:footnote>
  <w:footnote w:id="2">
    <w:p w:rsidR="00CB197D" w:rsidRPr="00B05D4E" w:rsidRDefault="00CB197D" w:rsidP="00B05D4E">
      <w:pPr>
        <w:rPr>
          <w:sz w:val="20"/>
          <w:szCs w:val="20"/>
        </w:rPr>
      </w:pPr>
      <w:r w:rsidRPr="00B05D4E">
        <w:rPr>
          <w:rStyle w:val="FootnoteReference"/>
          <w:sz w:val="20"/>
          <w:szCs w:val="20"/>
        </w:rPr>
        <w:footnoteRef/>
      </w:r>
      <w:r w:rsidR="007A54FD" w:rsidRPr="00B05D4E">
        <w:rPr>
          <w:sz w:val="20"/>
          <w:szCs w:val="20"/>
        </w:rPr>
        <w:t xml:space="preserve">W. Podlacha, </w:t>
      </w:r>
      <w:r w:rsidR="007A54FD" w:rsidRPr="00B05D4E">
        <w:rPr>
          <w:i/>
          <w:sz w:val="20"/>
          <w:szCs w:val="20"/>
        </w:rPr>
        <w:t>Malowidła ścienne w cerkwiach Bukowiny</w:t>
      </w:r>
      <w:r w:rsidR="007A54FD" w:rsidRPr="00B05D4E">
        <w:rPr>
          <w:sz w:val="20"/>
          <w:szCs w:val="20"/>
        </w:rPr>
        <w:t xml:space="preserve">, Lwów 1912, s. 35; </w:t>
      </w:r>
      <w:r w:rsidR="00AD2A7B">
        <w:rPr>
          <w:sz w:val="20"/>
          <w:szCs w:val="20"/>
        </w:rPr>
        <w:t>Cf</w:t>
      </w:r>
      <w:r w:rsidRPr="00B05D4E">
        <w:rPr>
          <w:sz w:val="20"/>
          <w:szCs w:val="20"/>
        </w:rPr>
        <w:t xml:space="preserve">. M. P. Kruk, </w:t>
      </w:r>
      <w:r w:rsidRPr="00B05D4E">
        <w:rPr>
          <w:i/>
          <w:sz w:val="20"/>
          <w:szCs w:val="20"/>
        </w:rPr>
        <w:t>Zachodnioruskie ikony Matki Boskiej z Dzieciątkiem w XV i XVI wiekach</w:t>
      </w:r>
      <w:r w:rsidRPr="00B05D4E">
        <w:rPr>
          <w:sz w:val="20"/>
          <w:szCs w:val="20"/>
        </w:rPr>
        <w:t xml:space="preserve">, Kraków 2000, </w:t>
      </w:r>
      <w:r w:rsidR="00026043">
        <w:rPr>
          <w:sz w:val="20"/>
          <w:szCs w:val="20"/>
        </w:rPr>
        <w:t>p</w:t>
      </w:r>
      <w:r w:rsidRPr="00B05D4E">
        <w:rPr>
          <w:sz w:val="20"/>
          <w:szCs w:val="20"/>
        </w:rPr>
        <w:t>.</w:t>
      </w:r>
      <w:r w:rsidR="007A54FD" w:rsidRPr="00B05D4E">
        <w:rPr>
          <w:sz w:val="20"/>
          <w:szCs w:val="20"/>
        </w:rPr>
        <w:t xml:space="preserve"> 77-193; </w:t>
      </w:r>
      <w:r w:rsidR="00B05D4E">
        <w:rPr>
          <w:sz w:val="20"/>
          <w:szCs w:val="20"/>
        </w:rPr>
        <w:t xml:space="preserve">Idem, </w:t>
      </w:r>
      <w:r w:rsidR="007A54FD" w:rsidRPr="00B05D4E">
        <w:rPr>
          <w:i/>
          <w:sz w:val="20"/>
          <w:szCs w:val="20"/>
        </w:rPr>
        <w:t>Hymnograf Stefan czy hymnografTeofan. Problem identyfikacji pieśniopiewcy w ikonach zachodnioruskich</w:t>
      </w:r>
      <w:r w:rsidR="007A54FD" w:rsidRPr="00B05D4E">
        <w:rPr>
          <w:sz w:val="20"/>
          <w:szCs w:val="20"/>
        </w:rPr>
        <w:t xml:space="preserve"> [</w:t>
      </w:r>
      <w:r w:rsidR="007A54FD" w:rsidRPr="00B05D4E">
        <w:rPr>
          <w:i/>
          <w:sz w:val="20"/>
          <w:szCs w:val="20"/>
        </w:rPr>
        <w:t xml:space="preserve">Hymnograph Stephen orTeophan. </w:t>
      </w:r>
      <w:r w:rsidR="007A54FD" w:rsidRPr="00B05D4E">
        <w:rPr>
          <w:i/>
          <w:sz w:val="20"/>
          <w:szCs w:val="20"/>
          <w:lang w:val="en-US"/>
        </w:rPr>
        <w:t>Problem of the Identification of the Byzantine Melodist in the Ruthenian Icons</w:t>
      </w:r>
      <w:r w:rsidR="007A54FD" w:rsidRPr="00B05D4E">
        <w:rPr>
          <w:sz w:val="20"/>
          <w:szCs w:val="20"/>
          <w:lang w:val="en-US"/>
        </w:rPr>
        <w:t xml:space="preserve">], [in:] „Series Byzantina” II (= Studies on Byzantine and Post-Byzantine Art), ed. W. Deluga, M. Janocha, Warszawa 2004, p. 129 – 154, fig. 1 – 4; </w:t>
      </w:r>
      <w:r w:rsidR="00B05D4E">
        <w:rPr>
          <w:sz w:val="20"/>
          <w:szCs w:val="20"/>
          <w:lang w:val="en-US"/>
        </w:rPr>
        <w:t xml:space="preserve">Idem, </w:t>
      </w:r>
      <w:r w:rsidR="007A54FD" w:rsidRPr="00B05D4E">
        <w:rPr>
          <w:i/>
          <w:sz w:val="20"/>
          <w:szCs w:val="20"/>
          <w:lang w:val="en-US"/>
        </w:rPr>
        <w:t>Balkan Connections of Ruthenian Icons of the Former Republic of Poland Exemplified by Iconography and Inscriptions</w:t>
      </w:r>
      <w:r w:rsidR="007A54FD" w:rsidRPr="00B05D4E">
        <w:rPr>
          <w:sz w:val="20"/>
          <w:szCs w:val="20"/>
          <w:lang w:val="en-US"/>
        </w:rPr>
        <w:t xml:space="preserve">, [in:] </w:t>
      </w:r>
      <w:r w:rsidR="007A54FD" w:rsidRPr="00B05D4E">
        <w:rPr>
          <w:i/>
          <w:sz w:val="20"/>
          <w:szCs w:val="20"/>
          <w:lang w:val="en-US"/>
        </w:rPr>
        <w:t>The Orthodox Church in the Balkans and Poland. Connections and Common Tradition</w:t>
      </w:r>
      <w:r w:rsidR="007A54FD" w:rsidRPr="00B05D4E">
        <w:rPr>
          <w:sz w:val="20"/>
          <w:szCs w:val="20"/>
          <w:lang w:val="en-US"/>
        </w:rPr>
        <w:t>, ed. A. Mironowicz, U. Pawluczuk, W. Walczak, Białystok 2007, p. 287 – 298</w:t>
      </w:r>
      <w:r w:rsidR="00B05D4E" w:rsidRPr="00B05D4E">
        <w:rPr>
          <w:sz w:val="20"/>
          <w:szCs w:val="20"/>
          <w:lang w:val="en-US"/>
        </w:rPr>
        <w:t xml:space="preserve">; </w:t>
      </w:r>
      <w:r w:rsidR="00B05D4E" w:rsidRPr="00B05D4E">
        <w:rPr>
          <w:i/>
          <w:iCs/>
          <w:sz w:val="20"/>
          <w:szCs w:val="20"/>
          <w:lang w:val="en-US"/>
        </w:rPr>
        <w:t>Concordia Veteris et Novi Testamenti w ikonieHodegetrii w otoczeniuproroków w Czarnej k. UsciaGorlickiego</w:t>
      </w:r>
      <w:r w:rsidR="00B05D4E" w:rsidRPr="00B05D4E">
        <w:rPr>
          <w:sz w:val="20"/>
          <w:szCs w:val="20"/>
          <w:lang w:val="en-US"/>
        </w:rPr>
        <w:t xml:space="preserve"> [</w:t>
      </w:r>
      <w:r w:rsidR="00B05D4E" w:rsidRPr="00B05D4E">
        <w:rPr>
          <w:i/>
          <w:iCs/>
          <w:sz w:val="20"/>
          <w:szCs w:val="20"/>
          <w:lang w:val="en-US"/>
        </w:rPr>
        <w:t>Concordia Veteris et Novi Testamenti in the Icon of Hodegetria surrounded by Prophets in Czarna by UscieGorlickie</w:t>
      </w:r>
      <w:r w:rsidR="00B05D4E" w:rsidRPr="00B05D4E">
        <w:rPr>
          <w:sz w:val="20"/>
          <w:szCs w:val="20"/>
          <w:lang w:val="en-US"/>
        </w:rPr>
        <w:t xml:space="preserve">], [in:] </w:t>
      </w:r>
      <w:r w:rsidR="00B05D4E" w:rsidRPr="00B05D4E">
        <w:rPr>
          <w:i/>
          <w:iCs/>
          <w:sz w:val="20"/>
          <w:szCs w:val="20"/>
          <w:lang w:val="en-US"/>
        </w:rPr>
        <w:t xml:space="preserve">Szczelinaświatła. </w:t>
      </w:r>
      <w:r w:rsidR="00B05D4E" w:rsidRPr="00B05D4E">
        <w:rPr>
          <w:i/>
          <w:iCs/>
          <w:sz w:val="20"/>
          <w:szCs w:val="20"/>
        </w:rPr>
        <w:t>Ruskie malarstwo ikonowe</w:t>
      </w:r>
      <w:r w:rsidR="00B05D4E" w:rsidRPr="00B05D4E">
        <w:rPr>
          <w:sz w:val="20"/>
          <w:szCs w:val="20"/>
        </w:rPr>
        <w:t>, ed. Agnieszka Gronek, Kraków 2009 (= Biblioteka Tradycji nr LXXXVI), p. 215 – 248.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2DA0"/>
    <w:rsid w:val="00026043"/>
    <w:rsid w:val="000A2C87"/>
    <w:rsid w:val="000C1FB3"/>
    <w:rsid w:val="000D1A9E"/>
    <w:rsid w:val="0019237E"/>
    <w:rsid w:val="00394621"/>
    <w:rsid w:val="003B35AE"/>
    <w:rsid w:val="003D6434"/>
    <w:rsid w:val="004A2FD2"/>
    <w:rsid w:val="004F51FC"/>
    <w:rsid w:val="005109A0"/>
    <w:rsid w:val="00553903"/>
    <w:rsid w:val="005B0822"/>
    <w:rsid w:val="005D1EA5"/>
    <w:rsid w:val="007529FA"/>
    <w:rsid w:val="007A54FD"/>
    <w:rsid w:val="008A77D4"/>
    <w:rsid w:val="008B1141"/>
    <w:rsid w:val="008C4709"/>
    <w:rsid w:val="009A494B"/>
    <w:rsid w:val="009A6266"/>
    <w:rsid w:val="009E4B7E"/>
    <w:rsid w:val="00A40748"/>
    <w:rsid w:val="00A6112F"/>
    <w:rsid w:val="00A73BD5"/>
    <w:rsid w:val="00A913D2"/>
    <w:rsid w:val="00AC18A1"/>
    <w:rsid w:val="00AD2A7B"/>
    <w:rsid w:val="00AD5C7A"/>
    <w:rsid w:val="00AD5E26"/>
    <w:rsid w:val="00AE6B21"/>
    <w:rsid w:val="00B05D4E"/>
    <w:rsid w:val="00B26D51"/>
    <w:rsid w:val="00B4752F"/>
    <w:rsid w:val="00BE535E"/>
    <w:rsid w:val="00BF3544"/>
    <w:rsid w:val="00C24C3A"/>
    <w:rsid w:val="00C46ED2"/>
    <w:rsid w:val="00C74056"/>
    <w:rsid w:val="00CB197D"/>
    <w:rsid w:val="00CC7B89"/>
    <w:rsid w:val="00CE23B3"/>
    <w:rsid w:val="00D23CE0"/>
    <w:rsid w:val="00D52DA0"/>
    <w:rsid w:val="00D57AEE"/>
    <w:rsid w:val="00F97E88"/>
    <w:rsid w:val="00FE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C7A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AD5C7A"/>
    <w:pPr>
      <w:jc w:val="left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5C7A"/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customStyle="1" w:styleId="tekstprzypisukocowego">
    <w:name w:val="tekst przypisu końcowego"/>
    <w:basedOn w:val="Normal"/>
    <w:rsid w:val="00AD5C7A"/>
    <w:pPr>
      <w:jc w:val="left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character" w:styleId="CommentReference">
    <w:name w:val="annotation reference"/>
    <w:uiPriority w:val="99"/>
    <w:semiHidden/>
    <w:unhideWhenUsed/>
    <w:rsid w:val="00AD5C7A"/>
    <w:rPr>
      <w:sz w:val="16"/>
      <w:szCs w:val="16"/>
    </w:rPr>
  </w:style>
  <w:style w:type="character" w:styleId="EndnoteReference">
    <w:name w:val="endnote reference"/>
    <w:uiPriority w:val="99"/>
    <w:semiHidden/>
    <w:unhideWhenUsed/>
    <w:rsid w:val="00AD5C7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C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C7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D5C7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D5C7A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D5C7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E09A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E09AC"/>
    <w:rPr>
      <w:rFonts w:ascii="Times New Roman" w:hAnsi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5C7A"/>
    <w:pPr>
      <w:spacing w:after="0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5C7A"/>
    <w:pPr>
      <w:jc w:val="left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5C7A"/>
    <w:rPr>
      <w:rFonts w:ascii="Tms Rmn" w:eastAsia="Times New Roman" w:hAnsi="Tms Rmn" w:cs="Times New Roman"/>
      <w:noProof/>
      <w:sz w:val="20"/>
      <w:szCs w:val="20"/>
      <w:lang w:eastAsia="pl-PL"/>
    </w:rPr>
  </w:style>
  <w:style w:type="paragraph" w:customStyle="1" w:styleId="tekstprzypisukocowego">
    <w:name w:val="tekst przypisu końcowego"/>
    <w:basedOn w:val="Normalny"/>
    <w:rsid w:val="00AD5C7A"/>
    <w:pPr>
      <w:jc w:val="left"/>
    </w:pPr>
    <w:rPr>
      <w:rFonts w:ascii="Tms Rmn" w:eastAsia="Times New Roman" w:hAnsi="Tms Rmn" w:cs="Times New Roman"/>
      <w:noProof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AD5C7A"/>
    <w:rPr>
      <w:sz w:val="16"/>
      <w:szCs w:val="16"/>
    </w:rPr>
  </w:style>
  <w:style w:type="character" w:styleId="Odwoanieprzypisukocowego">
    <w:name w:val="endnote reference"/>
    <w:uiPriority w:val="99"/>
    <w:semiHidden/>
    <w:unhideWhenUsed/>
    <w:rsid w:val="00AD5C7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5C7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5C7A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D5C7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D5C7A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C7A"/>
    <w:rPr>
      <w:vertAlign w:val="superscript"/>
    </w:rPr>
  </w:style>
  <w:style w:type="paragraph" w:styleId="Tekstprzypisukocowego0">
    <w:name w:val="endnote text"/>
    <w:basedOn w:val="Normalny"/>
    <w:link w:val="TekstprzypisukocowegoZnak"/>
    <w:uiPriority w:val="99"/>
    <w:semiHidden/>
    <w:unhideWhenUsed/>
    <w:rsid w:val="00FE09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0"/>
    <w:uiPriority w:val="99"/>
    <w:semiHidden/>
    <w:rsid w:val="00FE09AC"/>
    <w:rPr>
      <w:rFonts w:ascii="Times New Roman" w:hAnsi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6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D7A9B-8855-4DA2-8BA3-DAF5B2F5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6</cp:revision>
  <dcterms:created xsi:type="dcterms:W3CDTF">2013-11-18T10:57:00Z</dcterms:created>
  <dcterms:modified xsi:type="dcterms:W3CDTF">2013-11-22T13:23:00Z</dcterms:modified>
</cp:coreProperties>
</file>